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v:background id="_x0000_s1025" filled="t" fillcolor="white">
      <v:fill color2="white"/>
    </v:background>
  </w:background>
  <w:body>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240" w:lineRule="auto"/>
        <w:jc w:val="center"/>
        <w:rPr>
          <w:rFonts w:ascii="方正小标宋简体" w:eastAsia="方正小标宋简体" w:hAnsi="方正小标宋简体" w:cs="方正小标宋简体" w:hint="eastAsia"/>
          <w:sz w:val="48"/>
          <w:szCs w:val="48"/>
          <w:highlight w:val="none"/>
          <w:lang w:val="en-US" w:eastAsia="zh-CN"/>
        </w:rPr>
      </w:pPr>
      <w:r>
        <w:rPr>
          <w:rFonts w:ascii="方正小标宋简体" w:eastAsia="方正小标宋简体" w:hAnsi="方正小标宋简体" w:cs="方正小标宋简体" w:hint="eastAsia"/>
          <w:sz w:val="48"/>
          <w:szCs w:val="48"/>
          <w:highlight w:val="none"/>
          <w:lang w:val="en-US" w:eastAsia="zh-CN"/>
        </w:rPr>
        <w:t xml:space="preserve">天津一商集团有限公司</w:t>
      </w:r>
    </w:p>
    <w:p>
      <w:pPr>
        <w:divId w:val="0"/>
        <w:spacing w:line="240" w:lineRule="auto"/>
        <w:jc w:val="center"/>
        <w:rPr>
          <w:rFonts w:ascii="方正小标宋简体" w:eastAsia="方正小标宋简体" w:hAnsi="方正小标宋简体" w:cs="方正小标宋简体" w:hint="eastAsia"/>
          <w:w w:val="95"/>
          <w:sz w:val="48"/>
          <w:szCs w:val="48"/>
          <w:highlight w:val="none"/>
        </w:rPr>
      </w:pPr>
      <w:r>
        <w:rPr>
          <w:rFonts w:ascii="方正小标宋简体" w:eastAsia="方正小标宋简体" w:hAnsi="方正小标宋简体" w:cs="方正小标宋简体" w:hint="eastAsia"/>
          <w:sz w:val="48"/>
          <w:szCs w:val="48"/>
          <w:highlight w:val="none"/>
          <w:lang w:eastAsia="zh-CN"/>
        </w:rPr>
        <w:t xml:space="preserve">202</w:t>
      </w:r>
      <w:r>
        <w:rPr>
          <w:rFonts w:ascii="方正小标宋简体" w:eastAsia="方正小标宋简体" w:hAnsi="方正小标宋简体" w:cs="方正小标宋简体" w:hint="eastAsia"/>
          <w:sz w:val="48"/>
          <w:szCs w:val="48"/>
          <w:highlight w:val="none"/>
          <w:lang w:val="en-US" w:eastAsia="zh-CN"/>
        </w:rPr>
        <w:t xml:space="preserve">5</w:t>
      </w:r>
      <w:r>
        <w:rPr>
          <w:rFonts w:ascii="方正小标宋简体" w:eastAsia="方正小标宋简体" w:hAnsi="方正小标宋简体" w:cs="方正小标宋简体" w:hint="eastAsia"/>
          <w:sz w:val="48"/>
          <w:szCs w:val="48"/>
          <w:highlight w:val="none"/>
        </w:rPr>
        <w:t xml:space="preserve">年度部门决算</w:t>
      </w: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600" w:lineRule="exact"/>
        <w:jc w:val="center"/>
        <w:rPr>
          <w:rFonts w:ascii="黑体" w:eastAsia="黑体" w:hint="eastAsia"/>
          <w:sz w:val="44"/>
          <w:szCs w:val="44"/>
          <w:highlight w:val="none"/>
        </w:rPr>
        <w:sectPr>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sectPr>
      </w:pPr>
    </w:p>
    <w:p>
      <w:pPr>
        <w:divId w:val="0"/>
        <w:spacing w:line="600" w:lineRule="exact"/>
        <w:jc w:val="center"/>
        <w:rPr>
          <w:rFonts w:ascii="黑体" w:eastAsia="黑体" w:hint="eastAsia"/>
          <w:sz w:val="44"/>
          <w:szCs w:val="44"/>
          <w:highlight w:val="none"/>
        </w:rPr>
      </w:pPr>
    </w:p>
    <w:p>
      <w:pPr>
        <w:divId w:val="0"/>
        <w:spacing w:line="600" w:lineRule="exact"/>
        <w:jc w:val="center"/>
        <w:rPr>
          <w:rFonts w:ascii="黑体" w:eastAsia="黑体" w:hint="eastAsia"/>
          <w:sz w:val="44"/>
          <w:szCs w:val="44"/>
          <w:highlight w:val="none"/>
        </w:rPr>
      </w:pPr>
      <w:r>
        <w:rPr>
          <w:rFonts w:ascii="黑体" w:eastAsia="黑体" w:hint="eastAsia"/>
          <w:sz w:val="44"/>
          <w:szCs w:val="44"/>
          <w:highlight w:val="none"/>
        </w:rPr>
        <w:t xml:space="preserve">目</w:t>
      </w:r>
      <w:r>
        <w:rPr>
          <w:rFonts w:ascii="黑体" w:eastAsia="黑体" w:hint="eastAsia"/>
          <w:sz w:val="44"/>
          <w:szCs w:val="44"/>
          <w:highlight w:val="none"/>
        </w:rPr>
        <w:t xml:space="preserve">  </w:t>
      </w:r>
      <w:r>
        <w:rPr>
          <w:rFonts w:ascii="黑体" w:eastAsia="黑体" w:hint="eastAsia"/>
          <w:sz w:val="44"/>
          <w:szCs w:val="44"/>
          <w:highlight w:val="none"/>
        </w:rPr>
        <w:t xml:space="preserve"> </w:t>
      </w:r>
      <w:r>
        <w:rPr>
          <w:rFonts w:ascii="黑体" w:eastAsia="黑体" w:hint="eastAsia"/>
          <w:sz w:val="44"/>
          <w:szCs w:val="44"/>
          <w:highlight w:val="none"/>
        </w:rPr>
        <w:t xml:space="preserve">录</w:t>
      </w:r>
    </w:p>
    <w:p>
      <w:pPr>
        <w:divId w:val="0"/>
        <w:spacing w:line="600" w:lineRule="exact"/>
        <w:rPr>
          <w:rFonts w:ascii="黑体" w:eastAsia="黑体" w:hint="eastAsia"/>
          <w:sz w:val="30"/>
          <w:szCs w:val="30"/>
          <w:highlight w:val="none"/>
        </w:rPr>
      </w:pP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TOC \o "1-3" \h \z \u</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第一部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概</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况</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default"/>
          <w:sz w:val="30"/>
          <w:szCs w:val="30"/>
          <w:highlight w:val="none"/>
          <w:lang w:val="en-US" w:eastAsia="zh-CN"/>
        </w:rPr>
        <w:fldChar w:fldCharType="begin"/>
      </w:r>
      <w:r>
        <w:rPr>
          <w:rFonts w:ascii="Times New Roman" w:eastAsia="方正小标宋简体" w:hAnsi="Times New Roman" w:cs="Times New Roman" w:hint="default"/>
          <w:sz w:val="30"/>
          <w:szCs w:val="30"/>
          <w:highlight w:val="none"/>
          <w:lang w:val="en-US" w:eastAsia="zh-CN"/>
        </w:rPr>
        <w:instrText xml:space="preserve"> PAGEREF _Toc31751 \h </w:instrText>
      </w:r>
      <w:r>
        <w:rPr>
          <w:rFonts w:ascii="Times New Roman" w:eastAsia="方正小标宋简体" w:hAnsi="Times New Roman" w:cs="Times New Roman" w:hint="default"/>
          <w:sz w:val="30"/>
          <w:szCs w:val="30"/>
          <w:highlight w:val="none"/>
          <w:lang w:val="en-US" w:eastAsia="zh-CN"/>
        </w:rPr>
        <w:fldChar w:fldCharType="separate"/>
      </w:r>
      <w:r>
        <w:rPr>
          <w:rFonts w:ascii="Times New Roman" w:eastAsia="方正小标宋简体" w:hAnsi="Times New Roman" w:cs="Times New Roman" w:hint="default"/>
          <w:sz w:val="30"/>
          <w:szCs w:val="30"/>
          <w:highlight w:val="none"/>
          <w:lang w:val="en-US" w:eastAsia="zh-CN"/>
        </w:rPr>
        <w:t xml:space="preserve">1</w:t>
      </w:r>
      <w:r>
        <w:rPr>
          <w:rFonts w:ascii="Times New Roman" w:eastAsia="方正小标宋简体" w:hAnsi="Times New Roman" w:cs="Times New Roman" w:hint="default"/>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240" w:firstLine="0" w:leftChars="100" w:firstLineChars="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一、主要职责</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default"/>
          <w:sz w:val="30"/>
          <w:szCs w:val="30"/>
          <w:highlight w:val="none"/>
          <w:lang w:val="en-US" w:eastAsia="zh-CN"/>
        </w:rPr>
        <w:fldChar w:fldCharType="begin"/>
      </w:r>
      <w:r>
        <w:rPr>
          <w:rFonts w:ascii="Times New Roman" w:eastAsia="方正小标宋简体" w:hAnsi="Times New Roman" w:cs="Times New Roman" w:hint="default"/>
          <w:sz w:val="30"/>
          <w:szCs w:val="30"/>
          <w:highlight w:val="none"/>
          <w:lang w:val="en-US" w:eastAsia="zh-CN"/>
        </w:rPr>
        <w:instrText xml:space="preserve"> PAGEREF _Toc957 \h </w:instrText>
      </w:r>
      <w:r>
        <w:rPr>
          <w:rFonts w:ascii="Times New Roman" w:eastAsia="方正小标宋简体" w:hAnsi="Times New Roman" w:cs="Times New Roman" w:hint="default"/>
          <w:sz w:val="30"/>
          <w:szCs w:val="30"/>
          <w:highlight w:val="none"/>
          <w:lang w:val="en-US" w:eastAsia="zh-CN"/>
        </w:rPr>
        <w:fldChar w:fldCharType="separate"/>
      </w:r>
      <w:r>
        <w:rPr>
          <w:rFonts w:ascii="Times New Roman" w:eastAsia="方正小标宋简体" w:hAnsi="Times New Roman" w:cs="Times New Roman" w:hint="default"/>
          <w:sz w:val="30"/>
          <w:szCs w:val="30"/>
          <w:highlight w:val="none"/>
          <w:lang w:val="en-US" w:eastAsia="zh-CN"/>
        </w:rPr>
        <w:t xml:space="preserve">1</w:t>
      </w:r>
      <w:r>
        <w:rPr>
          <w:rFonts w:ascii="Times New Roman" w:eastAsia="方正小标宋简体" w:hAnsi="Times New Roman" w:cs="Times New Roman" w:hint="default"/>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二、机构设置</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_Toc9641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第二部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202</w:t>
      </w:r>
      <w:r>
        <w:rPr>
          <w:rFonts w:ascii="方正小标宋简体" w:eastAsia="方正小标宋简体" w:hAnsi="方正小标宋简体" w:cs="方正小标宋简体" w:hint="eastAsia"/>
          <w:sz w:val="30"/>
          <w:szCs w:val="30"/>
          <w:highlight w:val="none"/>
          <w:lang w:val="en-US" w:eastAsia="zh-CN"/>
        </w:rPr>
        <w:t xml:space="preserve">5</w:t>
      </w:r>
      <w:r>
        <w:rPr>
          <w:rFonts w:ascii="方正小标宋简体" w:eastAsia="方正小标宋简体" w:hAnsi="方正小标宋简体" w:cs="方正小标宋简体" w:hint="eastAsia"/>
          <w:sz w:val="30"/>
          <w:szCs w:val="30"/>
          <w:highlight w:val="none"/>
          <w:lang w:val="en-US" w:eastAsia="zh-CN"/>
        </w:rPr>
        <w:t xml:space="preserve">年度部门决算表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_Toc22959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一、《收入支出决算总表》</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_Toc24940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二、《收入决算表（按功能分类列示）》</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_Toc19253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4</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三、《收入决算表（按单位列示）》</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_Toc1420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5</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四、《支出决算表》</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_Toc16222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7</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五、《财政拨款收入支出决算总表》</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default"/>
          <w:sz w:val="30"/>
          <w:szCs w:val="30"/>
          <w:highlight w:val="none"/>
          <w:lang w:val="en-US" w:eastAsia="zh-CN"/>
        </w:rPr>
        <w:fldChar w:fldCharType="begin"/>
      </w:r>
      <w:r>
        <w:rPr>
          <w:rFonts w:ascii="Times New Roman" w:eastAsia="方正小标宋简体" w:hAnsi="Times New Roman" w:cs="Times New Roman" w:hint="default"/>
          <w:sz w:val="30"/>
          <w:szCs w:val="30"/>
          <w:highlight w:val="none"/>
          <w:lang w:val="en-US" w:eastAsia="zh-CN"/>
        </w:rPr>
        <w:instrText xml:space="preserve"> PAGEREF _Toc10133 \h </w:instrText>
      </w:r>
      <w:r>
        <w:rPr>
          <w:rFonts w:ascii="Times New Roman" w:eastAsia="方正小标宋简体" w:hAnsi="Times New Roman" w:cs="Times New Roman" w:hint="default"/>
          <w:sz w:val="30"/>
          <w:szCs w:val="30"/>
          <w:highlight w:val="none"/>
          <w:lang w:val="en-US" w:eastAsia="zh-CN"/>
        </w:rPr>
        <w:fldChar w:fldCharType="separate"/>
      </w:r>
      <w:r>
        <w:rPr>
          <w:rFonts w:ascii="Times New Roman" w:eastAsia="方正小标宋简体" w:hAnsi="Times New Roman" w:cs="Times New Roman" w:hint="default"/>
          <w:sz w:val="30"/>
          <w:szCs w:val="30"/>
          <w:highlight w:val="none"/>
          <w:lang w:val="en-US" w:eastAsia="zh-CN"/>
        </w:rPr>
        <w:t xml:space="preserve">8</w:t>
      </w:r>
      <w:r>
        <w:rPr>
          <w:rFonts w:ascii="Times New Roman" w:eastAsia="方正小标宋简体" w:hAnsi="Times New Roman" w:cs="Times New Roman" w:hint="default"/>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六、《一般公共预算财政拨款支出决算表》</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_Toc32088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10</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七、《一般公共预算财政拨款基本支出决算表》</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_Toc8838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11</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八、《政府性基金预算财政拨款收入支出决算表》</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_Toc2699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14</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九、《国有资本经营预算财政拨款收入支出决算表》</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_Toc11009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15</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十、《财政拨</w:t>
      </w:r>
      <w:r>
        <w:rPr>
          <w:rFonts w:ascii="仿宋" w:eastAsia="仿宋" w:hAnsi="仿宋" w:cs="仿宋" w:hint="eastAsia"/>
          <w:bCs w:val="0"/>
          <w:sz w:val="30"/>
          <w:szCs w:val="30"/>
          <w:highlight w:val="none"/>
          <w:lang w:val="en-US" w:eastAsia="zh-CN" w:bidi="ar-SA"/>
        </w:rPr>
        <w:t xml:space="preserve">款</w:t>
      </w:r>
      <w:r>
        <w:rPr>
          <w:rFonts w:ascii="仿宋" w:eastAsia="仿宋" w:hAnsi="仿宋" w:cs="仿宋" w:hint="eastAsia"/>
          <w:bCs w:val="0"/>
          <w:sz w:val="30"/>
          <w:szCs w:val="30"/>
          <w:highlight w:val="none"/>
          <w:lang w:val="en-US" w:eastAsia="zh-CN" w:bidi="ar-SA"/>
        </w:rPr>
        <w:t xml:space="preserve">“</w:t>
      </w:r>
      <w:r>
        <w:rPr>
          <w:rFonts w:ascii="仿宋" w:eastAsia="仿宋" w:hAnsi="仿宋" w:cs="仿宋" w:hint="eastAsia"/>
          <w:bCs w:val="0"/>
          <w:sz w:val="30"/>
          <w:szCs w:val="30"/>
          <w:highlight w:val="none"/>
          <w:lang w:val="en-US" w:eastAsia="zh-CN" w:bidi="ar-SA"/>
        </w:rPr>
        <w:t xml:space="preserve">三</w:t>
      </w:r>
      <w:r>
        <w:rPr>
          <w:rFonts w:ascii="仿宋" w:eastAsia="仿宋" w:hAnsi="仿宋" w:cs="仿宋" w:hint="eastAsia"/>
          <w:bCs w:val="0"/>
          <w:sz w:val="30"/>
          <w:szCs w:val="30"/>
          <w:highlight w:val="none"/>
          <w:lang w:val="en-US" w:eastAsia="zh-CN" w:bidi="ar-SA"/>
        </w:rPr>
        <w:t xml:space="preserve">公</w:t>
      </w:r>
      <w:r>
        <w:rPr>
          <w:rFonts w:ascii="仿宋" w:eastAsia="仿宋" w:hAnsi="仿宋" w:cs="仿宋" w:hint="eastAsia"/>
          <w:bCs w:val="0"/>
          <w:sz w:val="30"/>
          <w:szCs w:val="30"/>
          <w:highlight w:val="none"/>
          <w:lang w:val="en-US" w:eastAsia="zh-CN" w:bidi="ar-SA"/>
        </w:rPr>
        <w:t xml:space="preserve">”</w:t>
      </w:r>
      <w:r>
        <w:rPr>
          <w:rFonts w:ascii="仿宋" w:eastAsia="仿宋" w:hAnsi="仿宋" w:cs="仿宋" w:hint="eastAsia"/>
          <w:bCs w:val="0"/>
          <w:sz w:val="30"/>
          <w:szCs w:val="30"/>
          <w:highlight w:val="none"/>
          <w:lang w:val="en-US" w:eastAsia="zh-CN" w:bidi="ar-SA"/>
        </w:rPr>
        <w:t xml:space="preserve">经费支出决算表》</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_Toc25214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16</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十一、《项目支出决算表》</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_Toc18972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17</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第三部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202</w:t>
      </w:r>
      <w:r>
        <w:rPr>
          <w:rFonts w:ascii="方正小标宋简体" w:eastAsia="方正小标宋简体" w:hAnsi="方正小标宋简体" w:cs="方正小标宋简体" w:hint="eastAsia"/>
          <w:sz w:val="30"/>
          <w:szCs w:val="30"/>
          <w:highlight w:val="none"/>
          <w:lang w:val="en-US" w:eastAsia="zh-CN"/>
        </w:rPr>
        <w:t xml:space="preserve">5</w:t>
      </w:r>
      <w:r>
        <w:rPr>
          <w:rFonts w:ascii="方正小标宋简体" w:eastAsia="方正小标宋简体" w:hAnsi="方正小标宋简体" w:cs="方正小标宋简体" w:hint="eastAsia"/>
          <w:sz w:val="30"/>
          <w:szCs w:val="30"/>
          <w:highlight w:val="none"/>
          <w:lang w:val="en-US" w:eastAsia="zh-CN"/>
        </w:rPr>
        <w:t xml:space="preserve">年度部门决算情况说明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_Toc7922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18</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一、收入支出决算总体情况说明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_Toc7052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18</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二、收入决算情况说明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_Toc6621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18</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三、支出决算情况说明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_Toc21049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18</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四、财政拨款收支决算总体情况说明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_Toc8231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18</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五、一般公共预算财政拨款支出决算情况说明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_Toc24201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19</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六、一般公共预算财政拨款基本支出决算情况说明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_Toc17234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20</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七、政府性基金预算财政拨款收支决算情况说明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_Toc11228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20</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八、国有资本经营预算财政拨款收支决算情况说明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_Toc2429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20</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九、财政拨</w:t>
      </w:r>
      <w:r>
        <w:rPr>
          <w:rFonts w:ascii="仿宋" w:eastAsia="仿宋" w:hAnsi="仿宋" w:cs="仿宋" w:hint="eastAsia"/>
          <w:bCs w:val="0"/>
          <w:sz w:val="30"/>
          <w:szCs w:val="30"/>
          <w:highlight w:val="none"/>
          <w:lang w:val="en-US" w:eastAsia="zh-CN" w:bidi="ar-SA"/>
        </w:rPr>
        <w:t xml:space="preserve">款</w:t>
      </w:r>
      <w:r>
        <w:rPr>
          <w:rFonts w:ascii="仿宋" w:eastAsia="仿宋" w:hAnsi="仿宋" w:cs="仿宋" w:hint="eastAsia"/>
          <w:bCs w:val="0"/>
          <w:sz w:val="30"/>
          <w:szCs w:val="30"/>
          <w:highlight w:val="none"/>
          <w:lang w:val="en-US" w:eastAsia="zh-CN" w:bidi="ar-SA"/>
        </w:rPr>
        <w:t xml:space="preserve">“</w:t>
      </w:r>
      <w:r>
        <w:rPr>
          <w:rFonts w:ascii="仿宋" w:eastAsia="仿宋" w:hAnsi="仿宋" w:cs="仿宋" w:hint="eastAsia"/>
          <w:bCs w:val="0"/>
          <w:sz w:val="30"/>
          <w:szCs w:val="30"/>
          <w:highlight w:val="none"/>
          <w:lang w:val="en-US" w:eastAsia="zh-CN" w:bidi="ar-SA"/>
        </w:rPr>
        <w:t xml:space="preserve">三</w:t>
      </w:r>
      <w:r>
        <w:rPr>
          <w:rFonts w:ascii="仿宋" w:eastAsia="仿宋" w:hAnsi="仿宋" w:cs="仿宋" w:hint="eastAsia"/>
          <w:bCs w:val="0"/>
          <w:sz w:val="30"/>
          <w:szCs w:val="30"/>
          <w:highlight w:val="none"/>
          <w:lang w:val="en-US" w:eastAsia="zh-CN" w:bidi="ar-SA"/>
        </w:rPr>
        <w:t xml:space="preserve">公</w:t>
      </w:r>
      <w:r>
        <w:rPr>
          <w:rFonts w:ascii="仿宋" w:eastAsia="仿宋" w:hAnsi="仿宋" w:cs="仿宋" w:hint="eastAsia"/>
          <w:bCs w:val="0"/>
          <w:sz w:val="30"/>
          <w:szCs w:val="30"/>
          <w:highlight w:val="none"/>
          <w:lang w:val="en-US" w:eastAsia="zh-CN" w:bidi="ar-SA"/>
        </w:rPr>
        <w:t xml:space="preserve">”</w:t>
      </w:r>
      <w:r>
        <w:rPr>
          <w:rFonts w:ascii="仿宋" w:eastAsia="仿宋" w:hAnsi="仿宋" w:cs="仿宋" w:hint="eastAsia"/>
          <w:bCs w:val="0"/>
          <w:sz w:val="30"/>
          <w:szCs w:val="30"/>
          <w:highlight w:val="none"/>
          <w:lang w:val="en-US" w:eastAsia="zh-CN" w:bidi="ar-SA"/>
        </w:rPr>
        <w:t xml:space="preserve">经费支出决算情况说明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_Toc22288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20</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十、机关运行经费支出情况说明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_Toc30303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22</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十一、政府采购支出情况说明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_Toc3597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22</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十二、国有资产占有使用情况说明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_Toc32039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22</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十三、预算绩效情况说明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_Toc2201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22</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十四、教育、医疗卫生、社会保障和就业、住房保障、涉农补贴等民生支出情况说明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_Toc10864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22</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第四部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名词解释</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_Toc19733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23</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rPr>
          <w:rFonts w:ascii="Times New Roman" w:eastAsia="方正仿宋_GB2312" w:hAnsi="Times New Roman"/>
          <w:sz w:val="32"/>
          <w:szCs w:val="32"/>
          <w:highlight w:val="none"/>
        </w:rPr>
        <w:sectPr>
          <w:footerReference w:type="default" r:id="rId4"/>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sectPr>
      </w:pPr>
      <w:r>
        <w:rPr>
          <w:rFonts w:ascii="方正小标宋简体" w:eastAsia="方正小标宋简体" w:hAnsi="方正小标宋简体" w:cs="方正小标宋简体" w:hint="eastAsia"/>
          <w:sz w:val="30"/>
          <w:szCs w:val="30"/>
          <w:highlight w:val="none"/>
          <w:lang w:val="en-US" w:eastAsia="zh-CN"/>
        </w:rPr>
        <w:fldChar w:fldCharType="end"/>
      </w:r>
    </w:p>
    <w:p>
      <w:pPr>
        <w:rPr>
          <w:rFonts w:hint="eastAsia"/>
          <w:highlight w:val="none"/>
        </w:rPr>
      </w:pPr>
    </w:p>
    <w:p>
      <w:pPr>
        <w:pStyle w:val="标题1"/>
        <w:spacing w:before="0" w:after="0" w:line="600" w:lineRule="exact"/>
        <w:jc w:val="center"/>
        <w:rPr>
          <w:rFonts w:ascii="方正小标宋简体" w:eastAsia="方正小标宋简体" w:hAnsi="方正小标宋简体" w:cs="方正小标宋简体" w:hint="eastAsia"/>
          <w:b w:val="0"/>
          <w:sz w:val="48"/>
          <w:szCs w:val="48"/>
          <w:highlight w:val="none"/>
        </w:rPr>
      </w:pPr>
    </w:p>
    <w:p>
      <w:pPr>
        <w:pStyle w:val="标题1"/>
        <w:spacing w:before="0" w:after="0" w:line="600" w:lineRule="exact"/>
        <w:jc w:val="center"/>
        <w:rPr>
          <w:rFonts w:ascii="方正小标宋简体" w:eastAsia="方正小标宋简体" w:hAnsi="方正小标宋简体" w:cs="方正小标宋简体"/>
          <w:b w:val="0"/>
          <w:sz w:val="44"/>
          <w:szCs w:val="44"/>
          <w:highlight w:val="none"/>
        </w:rPr>
      </w:pPr>
      <w:bookmarkStart w:id="0" w:name="_Toc31751"/>
      <w:r>
        <w:rPr>
          <w:rFonts w:ascii="方正小标宋简体" w:eastAsia="方正小标宋简体" w:hAnsi="方正小标宋简体" w:cs="方正小标宋简体" w:hint="eastAsia"/>
          <w:b w:val="0"/>
          <w:lang w:val="en-US" w:eastAsia="zh-CN"/>
        </w:rPr>
        <w:t xml:space="preserve">第一部分  概 况</w:t>
      </w:r>
      <w:bookmarkEnd w:id="0"/>
    </w:p>
    <w:p>
      <w:pPr>
        <w:divId w:val="0"/>
        <w:spacing w:line="600" w:lineRule="exact"/>
        <w:rPr>
          <w:rFonts w:hint="eastAsia"/>
          <w:highlight w:val="none"/>
        </w:rPr>
      </w:pPr>
    </w:p>
    <w:p>
      <w:pPr>
        <w:pStyle w:val="标题2"/>
        <w:wordWrap w:val="0"/>
        <w:spacing w:before="0" w:after="0" w:line="800" w:lineRule="exact"/>
        <w:ind w:firstLine="600" w:firstLineChars="200"/>
        <w:rPr>
          <w:rFonts w:ascii="黑体" w:eastAsia="黑体" w:hAnsi="黑体" w:hint="eastAsia"/>
          <w:b w:val="0"/>
          <w:bCs w:val="0"/>
          <w:sz w:val="30"/>
          <w:szCs w:val="30"/>
          <w:highlight w:val="none"/>
        </w:rPr>
      </w:pPr>
      <w:bookmarkStart w:id="1" w:name="_Toc957"/>
      <w:r>
        <w:rPr>
          <w:rFonts w:ascii="黑体" w:eastAsia="黑体" w:hAnsi="黑体" w:hint="eastAsia"/>
          <w:sz w:val="30"/>
          <w:szCs w:val="30"/>
          <w:lang w:val="en-US" w:eastAsia="zh-CN"/>
        </w:rPr>
        <w:t xml:space="preserve">一、主要职责</w:t>
      </w:r>
      <w:bookmarkEnd w:id="1"/>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天津一商集团有限公司</w:t>
      </w:r>
      <w:r>
        <w:rPr>
          <w:rFonts w:eastAsia="仿宋_GB2312" w:hint="eastAsia"/>
          <w:sz w:val="30"/>
          <w:szCs w:val="30"/>
          <w:highlight w:val="none"/>
          <w:lang w:val="en-US" w:eastAsia="zh-CN"/>
        </w:rPr>
        <w:t xml:space="preserve">的主要职责是</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天津一商集团成立于1953年4月9日，前身为天津市国营商业局。1995年10月由天津市第一商业局转制为国有独资企业天津一商集团有限公司，1996年3月正式挂牌运营。2008年10月划归天津市国资委直接监管。2019年11月完成混改加入方大集团，成为方大集团子公司，简称“天津一商”。财政拨款单位为天津一商集团有限公司（本级）</w:t>
      </w:r>
      <w:r>
        <w:rPr>
          <w:rFonts w:eastAsia="仿宋_GB2312" w:hint="eastAsia"/>
          <w:sz w:val="30"/>
          <w:szCs w:val="30"/>
          <w:highlight w:val="none"/>
          <w:lang w:val="en-US" w:eastAsia="zh-CN"/>
        </w:rPr>
        <w:t xml:space="preserve">。</w:t>
      </w:r>
    </w:p>
    <w:p>
      <w:pPr>
        <w:pStyle w:val="标题2"/>
        <w:spacing w:before="0" w:after="0" w:line="600" w:lineRule="exact"/>
        <w:ind w:firstLine="600" w:firstLineChars="200"/>
        <w:rPr>
          <w:rFonts w:ascii="黑体" w:eastAsia="黑体" w:hAnsi="黑体" w:hint="eastAsia"/>
          <w:b w:val="0"/>
          <w:bCs w:val="0"/>
          <w:sz w:val="30"/>
          <w:szCs w:val="30"/>
          <w:highlight w:val="none"/>
        </w:rPr>
      </w:pPr>
      <w:bookmarkStart w:id="2" w:name="_Toc9641"/>
      <w:r>
        <w:rPr>
          <w:rFonts w:ascii="黑体" w:eastAsia="黑体" w:hAnsi="黑体" w:hint="eastAsia"/>
          <w:sz w:val="30"/>
          <w:szCs w:val="30"/>
          <w:lang w:val="en-US" w:eastAsia="zh-CN"/>
        </w:rPr>
        <w:t xml:space="preserve">二、机构设置</w:t>
      </w:r>
      <w:bookmarkEnd w:id="2"/>
    </w:p>
    <w:p>
      <w:pPr>
        <w:divId w:val="0"/>
        <w:spacing w:line="600" w:lineRule="exact"/>
        <w:ind w:firstLine="600"/>
        <w:rPr>
          <w:rFonts w:eastAsia="方正仿宋_GB2312" w:hint="eastAsia"/>
          <w:sz w:val="30"/>
          <w:szCs w:val="30"/>
          <w:highlight w:val="none"/>
          <w:lang w:val="en-US" w:eastAsia="zh-CN"/>
        </w:rPr>
      </w:pPr>
      <w:r>
        <w:rPr>
          <w:rFonts w:eastAsia="仿宋_GB2312" w:hint="eastAsia"/>
          <w:sz w:val="30"/>
          <w:szCs w:val="30"/>
          <w:highlight w:val="none"/>
          <w:lang w:val="en-US" w:eastAsia="zh-CN"/>
        </w:rPr>
        <w:t xml:space="preserve">纳</w:t>
      </w:r>
      <w:r>
        <w:rPr>
          <w:rFonts w:eastAsia="仿宋_GB2312" w:hint="eastAsia"/>
          <w:sz w:val="30"/>
          <w:szCs w:val="30"/>
          <w:highlight w:val="none"/>
          <w:lang w:val="en-US" w:eastAsia="zh-CN"/>
        </w:rPr>
        <w:t xml:space="preserve">入</w:t>
      </w:r>
      <w:r>
        <w:rPr>
          <w:rFonts w:eastAsia="仿宋_GB2312" w:hint="eastAsia"/>
          <w:sz w:val="30"/>
          <w:szCs w:val="30"/>
          <w:highlight w:val="none"/>
          <w:lang w:val="en-US" w:eastAsia="zh-CN"/>
        </w:rPr>
        <w:t xml:space="preserve">天津一商集团有限公司</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年度部门决算编制范围的单位包括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部门本级（内设1个职能处室）。</w:t>
      </w:r>
    </w:p>
    <w:p>
      <w:pPr>
        <w:divId w:val="0"/>
        <w:spacing w:line="600" w:lineRule="exact"/>
        <w:rPr>
          <w:rFonts w:eastAsia="方正楷体_GB2312" w:hint="eastAsia"/>
          <w:b/>
          <w:sz w:val="30"/>
          <w:szCs w:val="30"/>
          <w:highlight w:val="none"/>
        </w:rPr>
      </w:pPr>
      <w:r>
        <w:rPr>
          <w:rFonts w:eastAsia="方正楷体_GB2312"/>
          <w:b/>
          <w:sz w:val="30"/>
          <w:szCs w:val="30"/>
          <w:highlight w:val="none"/>
        </w:rPr>
        <w:br w:type="page"/>
      </w: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bookmarkStart w:id="3" w:name="_Toc22959"/>
      <w:r>
        <w:rPr>
          <w:rFonts w:ascii="方正小标宋简体" w:eastAsia="方正小标宋简体" w:hAnsi="方正小标宋简体" w:cs="方正小标宋简体" w:hint="eastAsia"/>
          <w:b w:val="0"/>
          <w:bCs w:val="0"/>
          <w:lang w:val="en-US" w:eastAsia="zh-CN"/>
        </w:rPr>
        <w:t xml:space="preserve">第二部分  2025年度部门决算表</w:t>
      </w:r>
      <w:bookmarkEnd w:id="3"/>
    </w:p>
    <w:p>
      <w:pPr>
        <w:pStyle w:val="标题1"/>
        <w:wordWrap w:val="0"/>
        <w:spacing w:before="0" w:after="0" w:line="600" w:lineRule="exact"/>
        <w:jc w:val="left"/>
        <w:rPr>
          <w:rFonts w:ascii="黑体" w:eastAsia="黑体" w:hAnsi="黑体" w:hint="eastAsia"/>
          <w:sz w:val="30"/>
          <w:szCs w:val="30"/>
          <w:lang w:val="en-US" w:eastAsia="zh-CN"/>
        </w:rPr>
      </w:pPr>
      <w:r>
        <w:rPr>
          <w:rFonts w:ascii="方正小标宋简体" w:eastAsia="方正小标宋简体" w:hAnsi="方正小标宋简体" w:cs="方正小标宋简体" w:hint="eastAsia"/>
          <w:b w:val="0"/>
          <w:bCs w:val="0"/>
          <w:lang w:val="en-US" w:eastAsia="zh-CN"/>
        </w:rPr>
        <w:br w:type="page"/>
      </w:r>
      <w:bookmarkStart w:id="4" w:name="_Toc24940"/>
      <w:r>
        <w:rPr>
          <w:rFonts w:ascii="黑体" w:eastAsia="黑体" w:hAnsi="黑体" w:hint="eastAsia"/>
          <w:sz w:val="30"/>
          <w:szCs w:val="30"/>
          <w:lang w:val="en-US" w:eastAsia="zh-CN"/>
        </w:rPr>
        <w:t xml:space="preserve">一、《收入支出决算总表》</w:t>
      </w:r>
      <w:bookmarkEnd w:id="4"/>
    </w:p>
    <w:tbl>
      <w:tblPr>
        <w:tblStyle w:val="普通表格"/>
        <w:tblW w:w="97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3351"/>
        <w:gridCol w:w="1632"/>
        <w:gridCol w:w="3180"/>
        <w:gridCol w:w="1632"/>
      </w:tblGrid>
      <w:tr>
        <w:tblPrEx>
          <w:tblW w:w="97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exact" w:val="397"/>
          <w:jc w:val="center"/>
        </w:trPr>
        <w:tc>
          <w:tcPr>
            <w:tcW w:w="1701" w:type="dxa"/>
            <w:gridSpan w:val="2"/>
            <w:tcBorders>
              <w:top w:val="nil"/>
              <w:left w:val="nil"/>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天津一商集团有限公司</w:t>
            </w:r>
          </w:p>
        </w:tc>
        <w:tc>
          <w:tcPr>
            <w:tcW w:w="1701" w:type="dxa"/>
            <w:gridSpan w:val="2"/>
            <w:tcBorders>
              <w:top w:val="nil"/>
              <w:left w:val="nil"/>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righ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9795" w:type="dxa"/>
          <w:jc w:val="center"/>
          <w:tblLayout w:type="fixed"/>
          <w:tblCellMar>
            <w:top w:w="0" w:type="dxa"/>
            <w:left w:w="108" w:type="dxa"/>
            <w:bottom w:w="0" w:type="dxa"/>
            <w:right w:w="108" w:type="dxa"/>
          </w:tblCellMar>
          <w:tblLook w:val="0000"/>
        </w:tblPrEx>
        <w:trPr>
          <w:trHeight w:hRule="exact" w:val="397"/>
          <w:jc w:val="center"/>
        </w:trPr>
        <w:tc>
          <w:tcPr>
            <w:tcW w:w="1701" w:type="dxa"/>
            <w:gridSpan w:val="2"/>
            <w:tcBorders>
              <w:top w:val="single" w:sz="4" w:space="0" w:color="000000"/>
              <w:left w:val="single" w:sz="4" w:space="0" w:color="000000"/>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w:t>
            </w:r>
          </w:p>
        </w:tc>
        <w:tc>
          <w:tcPr>
            <w:tcW w:w="1701" w:type="dxa"/>
            <w:gridSpan w:val="2"/>
            <w:tcBorders>
              <w:top w:val="single" w:sz="4" w:space="0" w:color="000000"/>
              <w:left w:val="nil"/>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w:t>
            </w:r>
          </w:p>
        </w:tc>
      </w:tr>
      <w:tr>
        <w:tblPrEx>
          <w:tblW w:w="9795" w:type="dxa"/>
          <w:jc w:val="center"/>
          <w:tblLayout w:type="fixed"/>
          <w:tblCellMar>
            <w:top w:w="0" w:type="dxa"/>
            <w:left w:w="108" w:type="dxa"/>
            <w:bottom w:w="0" w:type="dxa"/>
            <w:right w:w="108" w:type="dxa"/>
          </w:tblCellMar>
          <w:tblLook w:val="0000"/>
        </w:tblPrEx>
        <w:trPr>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一、一般公共预算财政拨款收入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tabs>
                <w:tab w:val="left" w:pos="1920"/>
              </w:tabs>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582086.60</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一、一般公共服务支出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二、政府性基金预算财政拨款收入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二、公共安全支出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三、国有资本经营预算财政拨款收入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三、教育支出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68"/>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四、财政专户管理资金</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四、科学技术支出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五、事业收入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五、文化旅游体育与传媒支出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六、事业单位经营收入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六、社会保障和就业支出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582086.60</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七、上级补助收入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七、卫生健康支出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八、附属单位上缴收入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八、节能环保支出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九、其他收入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九、城乡社区支出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十、农林水支出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十一、交通运输支出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十二、资源勘探工业信息等支出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十三、商业服务业等支出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十四、金融支出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十五、援助其他地区支出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十六、自然资源海洋气象等支出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十七、住房保障支出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十八、粮油物资储备支出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十九、国有资本经营预算支出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二十、灾害防治及应急管理支出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hAnsi="Times New Roman" w:cs="Times New Roman" w:hint="default"/>
                <w:i w:val="0"/>
                <w:iCs w:val="0"/>
                <w:color w:val="000000"/>
                <w:kern w:val="0.0"/>
                <w:sz w:val="20"/>
                <w:szCs w:val="20"/>
                <w:u w:val="none"/>
                <w:lang w:val="en-US" w:eastAsia="zh-CN"/>
              </w:rPr>
              <w:t xml:space="preserve">  </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二十一、其他支出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二十二、债务付息支出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二十三、抗疫特别国债安排的支出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本年收入合计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582086.60</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本年支出合计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582086.60</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w w:val="90"/>
                <w:kern w:val="0.0"/>
                <w:sz w:val="20"/>
                <w:szCs w:val="20"/>
                <w:u w:val="none"/>
                <w:lang w:val="en-US" w:eastAsia="zh-CN"/>
              </w:rPr>
              <w:t xml:space="preserve">十、使用非财政拨款结余</w:t>
            </w:r>
            <w:r>
              <w:rPr>
                <w:rFonts w:ascii="宋体" w:hAnsi="宋体" w:cs="宋体" w:hint="eastAsia"/>
                <w:i w:val="0"/>
                <w:iCs w:val="0"/>
                <w:color w:val="000000"/>
                <w:w w:val="90"/>
                <w:kern w:val="0.0"/>
                <w:sz w:val="20"/>
                <w:szCs w:val="20"/>
                <w:u w:val="none"/>
                <w:lang w:val="en-US" w:eastAsia="zh-CN"/>
              </w:rPr>
              <w:t xml:space="preserve">（含专用结余）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二十四、结余分配</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十一、年初结转和结余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二十五、年末结转和结余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其中：财政拨款结转和结余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right"/>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600" w:leftChars="0" w:rightChars="0" w:firstLineChars="30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其他结转和结余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right"/>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收入总计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582086.60</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支出总计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582086.60</w:t>
            </w:r>
          </w:p>
        </w:tc>
      </w:tr>
      <w:tr>
        <w:tblPrEx>
          <w:tblW w:w="9795" w:type="dxa"/>
          <w:jc w:val="center"/>
          <w:tblLayout w:type="fixed"/>
          <w:tblCellMar>
            <w:top w:w="0" w:type="dxa"/>
            <w:left w:w="108" w:type="dxa"/>
            <w:bottom w:w="0" w:type="dxa"/>
            <w:right w:w="108" w:type="dxa"/>
          </w:tblCellMar>
          <w:tblLook w:val="0000"/>
        </w:tblPrEx>
        <w:trPr>
          <w:trHeight w:val="315"/>
          <w:jc w:val="center"/>
        </w:trPr>
        <w:tc>
          <w:tcPr>
            <w:tcW w:w="1701" w:type="dxa"/>
            <w:gridSpan w:val="4"/>
            <w:tcBorders>
              <w:top w:val="nil"/>
              <w:left w:val="nil"/>
              <w:bottom w:val="nil"/>
              <w:right w:val="nil"/>
            </w:tcBorders>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注：本表反映本年度的总收支和年末结转结余情况。财政专户管理资金是指教育收费；事业收入不含教育收费。</w:t>
            </w:r>
          </w:p>
        </w:tc>
      </w:tr>
    </w:tbl>
    <w:p>
      <w:pPr>
        <w:divId w:val="0"/>
        <w:ind w:left="-480" w:firstLine="0" w:leftChars="-200" w:firstLineChars="0"/>
        <w:rPr>
          <w:rFonts w:hint="eastAsia"/>
          <w:lang w:val="en-US" w:eastAsia="zh-CN"/>
        </w:rPr>
        <w:sectPr>
          <w:footerReference w:type="default" r:id="rId5"/>
          <w:type w:val="nextPage"/>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charSpace="0"/>
        </w:sectPr>
      </w:pPr>
    </w:p>
    <w:p>
      <w:pPr>
        <w:pStyle w:val="标题2"/>
        <w:wordWrap w:val="0"/>
        <w:spacing w:before="0" w:after="0" w:line="800" w:lineRule="exact"/>
        <w:ind w:firstLine="600" w:firstLineChars="200"/>
        <w:rPr>
          <w:rFonts w:ascii="黑体" w:eastAsia="黑体" w:hAnsi="黑体" w:hint="eastAsia"/>
          <w:sz w:val="30"/>
          <w:szCs w:val="30"/>
          <w:lang w:val="en-US" w:eastAsia="zh-CN"/>
        </w:rPr>
      </w:pPr>
      <w:bookmarkStart w:id="5" w:name="_Toc19253"/>
      <w:r>
        <w:rPr>
          <w:rFonts w:ascii="黑体" w:eastAsia="黑体" w:hAnsi="黑体" w:hint="eastAsia"/>
          <w:sz w:val="30"/>
          <w:szCs w:val="30"/>
          <w:lang w:val="en-US" w:eastAsia="zh-CN"/>
        </w:rPr>
        <w:t xml:space="preserve">二、《收入决算表（按功能分类列示）》</w:t>
      </w:r>
      <w:bookmarkEnd w:id="5"/>
    </w:p>
    <w:tbl>
      <w:tblPr>
        <w:tblStyle w:val="普通表格"/>
        <w:tblW w:w="162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23"/>
        <w:gridCol w:w="2184"/>
        <w:gridCol w:w="1824"/>
        <w:gridCol w:w="1737"/>
        <w:gridCol w:w="1503"/>
        <w:gridCol w:w="1680"/>
        <w:gridCol w:w="1656"/>
        <w:gridCol w:w="1572"/>
        <w:gridCol w:w="1524"/>
        <w:gridCol w:w="1587"/>
      </w:tblGrid>
      <w:tr>
        <w:tblPrEx>
          <w:tblW w:w="162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tblHeader/>
          <w:jc w:val="center"/>
        </w:trPr>
        <w:tc>
          <w:tcPr>
            <w:tcW w:w="9951" w:type="dxa"/>
            <w:gridSpan w:val="6"/>
            <w:tcBorders>
              <w:top w:val="nil"/>
              <w:left w:val="nil"/>
              <w:bottom w:val="single" w:sz="4" w:space="0" w:color="auto"/>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4"/>
                <w:szCs w:val="24"/>
                <w:u w:val="none"/>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天津一商集团有限公司</w:t>
            </w:r>
          </w:p>
        </w:tc>
        <w:tc>
          <w:tcPr>
            <w:tcW w:w="1656" w:type="dxa"/>
            <w:tcBorders>
              <w:top w:val="nil"/>
              <w:left w:val="nil"/>
              <w:bottom w:val="single" w:sz="4" w:space="0" w:color="auto"/>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4"/>
                <w:szCs w:val="24"/>
                <w:u w:val="none"/>
              </w:rPr>
            </w:pPr>
          </w:p>
        </w:tc>
        <w:tc>
          <w:tcPr>
            <w:tcW w:w="1572" w:type="dxa"/>
            <w:tcBorders>
              <w:top w:val="nil"/>
              <w:left w:val="nil"/>
              <w:bottom w:val="single" w:sz="4" w:space="0" w:color="auto"/>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4"/>
                <w:szCs w:val="24"/>
                <w:u w:val="none"/>
              </w:rPr>
            </w:pPr>
          </w:p>
        </w:tc>
        <w:tc>
          <w:tcPr>
            <w:tcW w:w="3111" w:type="dxa"/>
            <w:gridSpan w:val="2"/>
            <w:tcBorders>
              <w:top w:val="nil"/>
              <w:left w:val="nil"/>
              <w:bottom w:val="single" w:sz="4" w:space="0" w:color="auto"/>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2"/>
                <w:szCs w:val="22"/>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3207" w:type="dxa"/>
            <w:gridSpan w:val="2"/>
            <w:tcBorders>
              <w:top w:val="single" w:sz="4" w:space="0" w:color="auto"/>
              <w:left w:val="single" w:sz="4" w:space="0" w:color="auto"/>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1824"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本年收入合计</w:t>
            </w:r>
          </w:p>
        </w:tc>
        <w:tc>
          <w:tcPr>
            <w:tcW w:w="1737"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财政拨款收入</w:t>
            </w:r>
          </w:p>
        </w:tc>
        <w:tc>
          <w:tcPr>
            <w:tcW w:w="1503"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上级补助收入</w:t>
            </w:r>
          </w:p>
        </w:tc>
        <w:tc>
          <w:tcPr>
            <w:tcW w:w="3336" w:type="dxa"/>
            <w:gridSpan w:val="2"/>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事业收入</w:t>
            </w:r>
          </w:p>
        </w:tc>
        <w:tc>
          <w:tcPr>
            <w:tcW w:w="1572"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经营收入</w:t>
            </w:r>
          </w:p>
        </w:tc>
        <w:tc>
          <w:tcPr>
            <w:tcW w:w="1524"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附属单位上缴收入</w:t>
            </w:r>
          </w:p>
        </w:tc>
        <w:tc>
          <w:tcPr>
            <w:tcW w:w="1587" w:type="dxa"/>
            <w:vMerge w:val="restart"/>
            <w:tcBorders>
              <w:top w:val="single" w:sz="4" w:space="0" w:color="auto"/>
              <w:left w:val="single" w:sz="4" w:space="0" w:color="000000"/>
              <w:bottom w:val="single" w:sz="4" w:space="0" w:color="000000"/>
              <w:right w:val="single" w:sz="4" w:space="0" w:color="auto"/>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其他收入</w:t>
            </w: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1023" w:type="dxa"/>
            <w:vMerge w:val="restart"/>
            <w:tcBorders>
              <w:top w:val="single" w:sz="4" w:space="0" w:color="000000"/>
              <w:left w:val="single" w:sz="4" w:space="0" w:color="auto"/>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18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8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snapToGrid w:val="0"/>
              <w:jc w:val="center"/>
              <w:rPr>
                <w:rFonts w:ascii="宋体" w:eastAsia="宋体" w:hAnsi="宋体" w:cs="宋体" w:hint="eastAsia"/>
                <w:i w:val="0"/>
                <w:iCs w:val="0"/>
                <w:color w:val="000000"/>
                <w:sz w:val="20"/>
                <w:szCs w:val="20"/>
                <w:u w:val="none"/>
              </w:rPr>
            </w:pPr>
          </w:p>
        </w:tc>
        <w:tc>
          <w:tcPr>
            <w:tcW w:w="15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8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165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其中：教育收费</w:t>
            </w:r>
          </w:p>
        </w:tc>
        <w:tc>
          <w:tcPr>
            <w:tcW w:w="157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auto"/>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1023" w:type="dxa"/>
            <w:vMerge/>
            <w:tcBorders>
              <w:top w:val="single" w:sz="4" w:space="0" w:color="000000"/>
              <w:left w:val="single" w:sz="4" w:space="0" w:color="auto"/>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18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8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snapToGrid w:val="0"/>
              <w:jc w:val="center"/>
              <w:rPr>
                <w:rFonts w:ascii="宋体" w:eastAsia="宋体" w:hAnsi="宋体" w:cs="宋体" w:hint="eastAsia"/>
                <w:i w:val="0"/>
                <w:iCs w:val="0"/>
                <w:color w:val="000000"/>
                <w:sz w:val="20"/>
                <w:szCs w:val="20"/>
                <w:u w:val="none"/>
              </w:rPr>
            </w:pPr>
          </w:p>
        </w:tc>
        <w:tc>
          <w:tcPr>
            <w:tcW w:w="15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5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7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auto"/>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3207" w:type="dxa"/>
            <w:gridSpan w:val="2"/>
            <w:tcBorders>
              <w:top w:val="single" w:sz="4" w:space="0" w:color="000000"/>
              <w:left w:val="single" w:sz="4" w:space="0" w:color="auto"/>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8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582086.60</w:t>
            </w:r>
          </w:p>
        </w:tc>
        <w:tc>
          <w:tcPr>
            <w:tcW w:w="173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582086.60</w:t>
            </w:r>
          </w:p>
        </w:tc>
        <w:tc>
          <w:tcPr>
            <w:tcW w:w="150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000000"/>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社会保障和就业支出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582086.60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582086.60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20805</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行政事业单位养老支出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164494.60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164494.60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2080501</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行政单位离退休</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164494.60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164494.60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20899</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其他社会保障和就业支出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417592.00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417592.00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2089999</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其他社会保障和就业支出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417592.00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417592.00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auto" w:val="0"/>
          <w:jc w:val="center"/>
        </w:trPr>
        <w:tc>
          <w:tcPr>
            <w:tcW w:w="16290" w:type="dxa"/>
            <w:gridSpan w:val="10"/>
            <w:tcBorders>
              <w:top w:val="single" w:sz="4" w:space="0" w:color="auto"/>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注：本表反映本年度取得的各项收入情况。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6" w:name="_Toc1420"/>
      <w:r>
        <w:rPr>
          <w:rFonts w:ascii="黑体" w:eastAsia="黑体" w:hAnsi="黑体" w:hint="eastAsia"/>
          <w:b/>
          <w:bCs/>
          <w:sz w:val="30"/>
          <w:szCs w:val="30"/>
          <w:lang w:val="en-US" w:eastAsia="zh-CN"/>
        </w:rPr>
        <w:t xml:space="preserve">三、《收入决算表（按单位列示）》</w:t>
      </w:r>
      <w:bookmarkEnd w:id="6"/>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733"/>
        <w:gridCol w:w="1405"/>
        <w:gridCol w:w="1344"/>
        <w:gridCol w:w="1153"/>
        <w:gridCol w:w="1285"/>
        <w:gridCol w:w="1285"/>
        <w:gridCol w:w="1285"/>
        <w:gridCol w:w="1285"/>
        <w:gridCol w:w="1285"/>
        <w:gridCol w:w="1285"/>
        <w:gridCol w:w="1285"/>
        <w:gridCol w:w="1329"/>
        <w:gridCol w:w="1329"/>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300"/>
          <w:jc w:val="center"/>
        </w:trPr>
        <w:tc>
          <w:tcPr>
            <w:tcW w:w="9775" w:type="dxa"/>
            <w:gridSpan w:val="8"/>
            <w:tcBorders>
              <w:top w:val="nil"/>
              <w:left w:val="nil"/>
              <w:bottom w:val="single" w:sz="4" w:space="0" w:color="000000"/>
              <w:right w:val="nil"/>
            </w:tcBorders>
            <w:noWrap w:val="1"/>
            <w:vAlign w:val="center"/>
          </w:tcPr>
          <w:p>
            <w:pPr>
              <w:divId w:val="0"/>
              <w:keepNext w:val="0"/>
              <w:keepLines w:val="0"/>
              <w:widowControl/>
              <w:suppressLineNumbers w:val="0"/>
              <w:jc w:val="left"/>
              <w:textAlignment w:val="center"/>
              <w:rPr>
                <w:rFonts w:ascii="宋体" w:eastAsia="宋体" w:hAnsi="宋体" w:cs="宋体" w:hint="eastAsia"/>
                <w:i w:val="0"/>
                <w:iCs w:val="0"/>
                <w:color w:val="000000"/>
                <w:sz w:val="16"/>
                <w:szCs w:val="16"/>
                <w:u w:val="none"/>
              </w:rPr>
            </w:pPr>
            <w:r>
              <w:rPr>
                <w:rFonts w:ascii="宋体" w:hAnsi="宋体" w:cs="宋体" w:hint="eastAsia"/>
                <w:i w:val="0"/>
                <w:iCs w:val="0"/>
                <w:color w:val="000000"/>
                <w:kern w:val="0.0"/>
                <w:sz w:val="16"/>
                <w:szCs w:val="16"/>
                <w:u w:val="none"/>
                <w:lang w:val="en-US" w:eastAsia="zh-CN"/>
              </w:rPr>
              <w:t xml:space="preserve">部门</w:t>
            </w:r>
            <w:r>
              <w:rPr>
                <w:rFonts w:ascii="宋体" w:eastAsia="宋体" w:hAnsi="宋体" w:cs="宋体" w:hint="eastAsia"/>
                <w:i w:val="0"/>
                <w:iCs w:val="0"/>
                <w:color w:val="000000"/>
                <w:kern w:val="0.0"/>
                <w:sz w:val="16"/>
                <w:szCs w:val="16"/>
                <w:u w:val="none"/>
                <w:lang w:val="en-US" w:eastAsia="zh-CN"/>
              </w:rPr>
              <w:t xml:space="preserve">：</w:t>
            </w:r>
            <w:r>
              <w:rPr>
                <w:rFonts w:ascii="宋体" w:eastAsia="宋体" w:hAnsi="宋体" w:cs="宋体" w:hint="eastAsia"/>
                <w:i w:val="0"/>
                <w:iCs w:val="0"/>
                <w:color w:val="000000"/>
                <w:kern w:val="0.0"/>
                <w:sz w:val="16"/>
                <w:szCs w:val="16"/>
                <w:u w:val="none"/>
                <w:lang w:val="en-US" w:eastAsia="zh-CN"/>
              </w:rPr>
              <w:t xml:space="preserve">天津一商集团有限公司</w:t>
            </w: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2658" w:type="dxa"/>
            <w:gridSpan w:val="2"/>
            <w:tcBorders>
              <w:top w:val="nil"/>
              <w:left w:val="nil"/>
              <w:bottom w:val="single" w:sz="4" w:space="0" w:color="000000"/>
              <w:right w:val="nil"/>
            </w:tcBorders>
            <w:noWrap w:val="1"/>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300"/>
          <w:jc w:val="center"/>
        </w:trPr>
        <w:tc>
          <w:tcPr>
            <w:tcW w:w="73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部门（单位）代码</w:t>
            </w:r>
          </w:p>
        </w:tc>
        <w:tc>
          <w:tcPr>
            <w:tcW w:w="140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部门（单位）名称</w:t>
            </w:r>
          </w:p>
        </w:tc>
        <w:tc>
          <w:tcPr>
            <w:tcW w:w="1344"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2806" w:type="dxa"/>
            <w:gridSpan w:val="10"/>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本年收入</w:t>
            </w:r>
          </w:p>
        </w:tc>
      </w:tr>
      <w:tr>
        <w:tblPrEx>
          <w:tblW w:w="16288" w:type="dxa"/>
          <w:jc w:val="center"/>
          <w:tblLayout w:type="fixed"/>
          <w:tblCellMar>
            <w:top w:w="0" w:type="dxa"/>
            <w:left w:w="108" w:type="dxa"/>
            <w:bottom w:w="0" w:type="dxa"/>
            <w:right w:w="108" w:type="dxa"/>
          </w:tblCellMar>
          <w:tblLook w:val="0000"/>
        </w:tblPrEx>
        <w:trPr>
          <w:trHeight w:val="300"/>
          <w:jc w:val="center"/>
        </w:trPr>
        <w:tc>
          <w:tcPr>
            <w:tcW w:w="73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40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44"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5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一般公共预算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政府性基金预算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国有资本经营预算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财政专户管理资金</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事业收入</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事业单位经营收入</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上级补助收入</w:t>
            </w:r>
          </w:p>
        </w:tc>
        <w:tc>
          <w:tcPr>
            <w:tcW w:w="132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附属单位上缴收入</w:t>
            </w:r>
          </w:p>
        </w:tc>
        <w:tc>
          <w:tcPr>
            <w:tcW w:w="132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其他收入</w:t>
            </w:r>
          </w:p>
        </w:tc>
      </w:tr>
      <w:tr>
        <w:tblPrEx>
          <w:tblW w:w="16288" w:type="dxa"/>
          <w:jc w:val="center"/>
          <w:tblLayout w:type="fixed"/>
          <w:tblCellMar>
            <w:top w:w="0" w:type="dxa"/>
            <w:left w:w="108" w:type="dxa"/>
            <w:bottom w:w="0" w:type="dxa"/>
            <w:right w:w="108" w:type="dxa"/>
          </w:tblCellMar>
          <w:tblLook w:val="0000"/>
        </w:tblPrEx>
        <w:trPr>
          <w:trHeight w:val="270"/>
          <w:jc w:val="center"/>
        </w:trPr>
        <w:tc>
          <w:tcPr>
            <w:tcW w:w="73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40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44"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5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29"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29"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r>
      <w:tr>
        <w:tblPrEx>
          <w:tblW w:w="16288" w:type="dxa"/>
          <w:jc w:val="center"/>
          <w:tblLayout w:type="fixed"/>
          <w:tblCellMar>
            <w:top w:w="0" w:type="dxa"/>
            <w:left w:w="108" w:type="dxa"/>
            <w:bottom w:w="0" w:type="dxa"/>
            <w:right w:w="108" w:type="dxa"/>
          </w:tblCellMar>
          <w:tblLook w:val="0000"/>
        </w:tblPrEx>
        <w:trPr>
          <w:trHeight w:val="782"/>
          <w:jc w:val="center"/>
        </w:trPr>
        <w:tc>
          <w:tcPr>
            <w:tcW w:w="2138"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34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582086.60</w:t>
            </w:r>
          </w:p>
        </w:tc>
        <w:tc>
          <w:tcPr>
            <w:tcW w:w="11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582086.60</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582086.60</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r>
      <w:tr>
        <w:tblPrEx>
          <w:tblW w:w="16288" w:type="dxa"/>
          <w:jc w:val="center"/>
          <w:tblLayout w:type="fixed"/>
          <w:tblCellMar>
            <w:top w:w="0" w:type="dxa"/>
            <w:left w:w="108" w:type="dxa"/>
            <w:bottom w:w="0" w:type="dxa"/>
            <w:right w:w="108" w:type="dxa"/>
          </w:tblCellMar>
          <w:tblLook w:val="0000"/>
        </w:tblPrEx>
        <w:trPr>
          <w:trHeight w:val="283"/>
          <w:jc w:val="center"/>
        </w:trPr>
        <w:tc>
          <w:tcPr>
            <w:tcW w:w="73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712901</w:t>
            </w:r>
          </w:p>
        </w:tc>
        <w:tc>
          <w:tcPr>
            <w:tcW w:w="140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天津一商集团有限公司</w:t>
            </w:r>
          </w:p>
        </w:tc>
        <w:tc>
          <w:tcPr>
            <w:tcW w:w="134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582086.60</w:t>
            </w:r>
          </w:p>
        </w:tc>
        <w:tc>
          <w:tcPr>
            <w:tcW w:w="11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582086.60</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582086.60</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r>
      <w:tr>
        <w:tblPrEx>
          <w:tblW w:w="16288" w:type="dxa"/>
          <w:jc w:val="center"/>
          <w:tblLayout w:type="fixed"/>
          <w:tblCellMar>
            <w:top w:w="0" w:type="dxa"/>
            <w:left w:w="108" w:type="dxa"/>
            <w:bottom w:w="0" w:type="dxa"/>
            <w:right w:w="108" w:type="dxa"/>
          </w:tblCellMar>
          <w:tblLook w:val="0000"/>
        </w:tblPrEx>
        <w:trPr>
          <w:trHeight w:val="270"/>
          <w:jc w:val="center"/>
        </w:trPr>
        <w:tc>
          <w:tcPr>
            <w:tcW w:w="16288" w:type="dxa"/>
            <w:gridSpan w:val="13"/>
            <w:tcBorders>
              <w:top w:val="single" w:sz="4" w:space="0" w:color="000000"/>
              <w:left w:val="nil"/>
              <w:bottom w:val="nil"/>
              <w:right w:val="nil"/>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注：本表反映本年度取得的各项收入情况。财政专户管理资金是指教育收费；事业收入不含教育收费。</w:t>
            </w:r>
          </w:p>
        </w:tc>
      </w:tr>
    </w:tbl>
    <w:p>
      <w:pPr>
        <w:pStyle w:val="标题2"/>
        <w:wordWrap w:val="0"/>
        <w:spacing w:before="0" w:after="0" w:line="240" w:lineRule="auto"/>
        <w:ind w:firstLine="0" w:firstLineChars="0"/>
        <w:rPr>
          <w:rFonts w:ascii="黑体" w:eastAsia="黑体" w:hAnsi="黑体" w:hint="eastAsia"/>
          <w:sz w:val="30"/>
          <w:szCs w:val="30"/>
          <w:lang w:val="en-US" w:eastAsia="zh-CN"/>
        </w:rPr>
      </w:pPr>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697"/>
        <w:gridCol w:w="1388"/>
        <w:gridCol w:w="1482"/>
        <w:gridCol w:w="1836"/>
        <w:gridCol w:w="1802"/>
        <w:gridCol w:w="1798"/>
        <w:gridCol w:w="1884"/>
        <w:gridCol w:w="1692"/>
        <w:gridCol w:w="1860"/>
        <w:gridCol w:w="1849"/>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9003" w:type="dxa"/>
            <w:gridSpan w:val="6"/>
            <w:tcBorders>
              <w:top w:val="nil"/>
              <w:left w:val="nil"/>
              <w:bottom w:val="single" w:sz="4" w:space="0" w:color="000000"/>
              <w:right w:val="nil"/>
            </w:tcBorders>
            <w:noWrap w:val="1"/>
            <w:vAlign w:val="center"/>
          </w:tcPr>
          <w:p>
            <w:pPr>
              <w:divId w:val="0"/>
              <w:snapToGrid w:val="0"/>
              <w:rPr>
                <w:rFonts w:ascii="宋体" w:eastAsia="宋体" w:hAnsi="宋体" w:cs="宋体" w:hint="eastAsia"/>
                <w:i w:val="0"/>
                <w:iCs w:val="0"/>
                <w:color w:val="000000"/>
                <w:sz w:val="16"/>
                <w:szCs w:val="16"/>
                <w:u w:val="none"/>
              </w:rPr>
            </w:pPr>
            <w:r>
              <w:rPr>
                <w:rFonts w:ascii="宋体" w:hAnsi="宋体" w:cs="宋体" w:hint="eastAsia"/>
                <w:i w:val="0"/>
                <w:iCs w:val="0"/>
                <w:color w:val="000000"/>
                <w:kern w:val="0.0"/>
                <w:sz w:val="16"/>
                <w:szCs w:val="16"/>
                <w:u w:val="none"/>
                <w:lang w:val="en-US" w:eastAsia="zh-CN"/>
              </w:rPr>
              <w:t xml:space="preserve">部门</w:t>
            </w:r>
            <w:r>
              <w:rPr>
                <w:rFonts w:ascii="宋体" w:eastAsia="宋体" w:hAnsi="宋体" w:cs="宋体" w:hint="eastAsia"/>
                <w:i w:val="0"/>
                <w:iCs w:val="0"/>
                <w:color w:val="000000"/>
                <w:kern w:val="0.0"/>
                <w:sz w:val="16"/>
                <w:szCs w:val="16"/>
                <w:u w:val="none"/>
                <w:lang w:val="en-US" w:eastAsia="zh-CN"/>
              </w:rPr>
              <w:t xml:space="preserve">：</w:t>
            </w:r>
            <w:r>
              <w:rPr>
                <w:rFonts w:ascii="宋体" w:eastAsia="宋体" w:hAnsi="宋体" w:cs="宋体" w:hint="eastAsia"/>
                <w:i w:val="0"/>
                <w:iCs w:val="0"/>
                <w:color w:val="000000"/>
                <w:kern w:val="0.0"/>
                <w:sz w:val="16"/>
                <w:szCs w:val="16"/>
                <w:u w:val="none"/>
                <w:lang w:val="en-US" w:eastAsia="zh-CN"/>
              </w:rPr>
              <w:t xml:space="preserve">天津一商集团有限公司</w:t>
            </w:r>
          </w:p>
        </w:tc>
        <w:tc>
          <w:tcPr>
            <w:tcW w:w="3576" w:type="dxa"/>
            <w:gridSpan w:val="2"/>
            <w:tcBorders>
              <w:top w:val="nil"/>
              <w:left w:val="nil"/>
              <w:bottom w:val="single" w:sz="4" w:space="0" w:color="000000"/>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16"/>
                <w:szCs w:val="16"/>
                <w:u w:val="none"/>
                <w:lang w:val="en-US" w:eastAsia="zh-CN"/>
              </w:rPr>
            </w:pPr>
          </w:p>
        </w:tc>
        <w:tc>
          <w:tcPr>
            <w:tcW w:w="3709" w:type="dxa"/>
            <w:gridSpan w:val="2"/>
            <w:tcBorders>
              <w:top w:val="nil"/>
              <w:left w:val="nil"/>
              <w:bottom w:val="single" w:sz="4" w:space="0" w:color="000000"/>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部门（单位）代码</w:t>
            </w:r>
          </w:p>
        </w:tc>
        <w:tc>
          <w:tcPr>
            <w:tcW w:w="1388"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部门（单位）名称</w:t>
            </w:r>
          </w:p>
        </w:tc>
        <w:tc>
          <w:tcPr>
            <w:tcW w:w="14203" w:type="dxa"/>
            <w:gridSpan w:val="8"/>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上年结转和结余</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38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482"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7320" w:type="dxa"/>
            <w:gridSpan w:val="4"/>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财政拨款结转结余</w:t>
            </w:r>
          </w:p>
        </w:tc>
        <w:tc>
          <w:tcPr>
            <w:tcW w:w="5401"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非财政拨款结转结余</w:t>
            </w:r>
          </w:p>
        </w:tc>
      </w:tr>
      <w:tr>
        <w:tblPrEx>
          <w:tblW w:w="16288" w:type="dxa"/>
          <w:jc w:val="center"/>
          <w:tblLayout w:type="fixed"/>
          <w:tblCellMar>
            <w:top w:w="0" w:type="dxa"/>
            <w:left w:w="108" w:type="dxa"/>
            <w:bottom w:w="0" w:type="dxa"/>
            <w:right w:w="108" w:type="dxa"/>
          </w:tblCellMar>
          <w:tblLook w:val="0000"/>
        </w:tblPrEx>
        <w:trPr>
          <w:cantSplit/>
          <w:trHeight w:hRule="auto" w:val="0"/>
          <w:jc w:val="center"/>
        </w:trPr>
        <w:tc>
          <w:tcPr>
            <w:tcW w:w="697"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38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482"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一般公共预算</w:t>
            </w: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政府性基金预算</w:t>
            </w: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国有资本经营预算</w:t>
            </w: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财政专户管理资金</w:t>
            </w: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单位资金</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085"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48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auto"/>
                <w:kern w:val="0.0"/>
                <w:sz w:val="16"/>
                <w:szCs w:val="16"/>
                <w:u w:val="none"/>
                <w:lang w:val="en-US" w:eastAsia="zh-CN"/>
              </w:rPr>
            </w:pPr>
            <w:r>
              <w:rPr>
                <w:rFonts w:ascii="宋体" w:eastAsia="宋体" w:hAnsi="宋体" w:cs="宋体" w:hint="eastAsia"/>
                <w:i w:val="0"/>
                <w:iCs w:val="0"/>
                <w:color w:val="auto"/>
                <w:kern w:val="0.0"/>
                <w:sz w:val="16"/>
                <w:szCs w:val="16"/>
                <w:u w:val="none"/>
                <w:lang w:val="en-US" w:eastAsia="zh-CN"/>
              </w:rPr>
              <w:t xml:space="preserve">712901</w:t>
            </w:r>
          </w:p>
        </w:tc>
        <w:tc>
          <w:tcPr>
            <w:tcW w:w="138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auto"/>
                <w:kern w:val="0.0"/>
                <w:sz w:val="16"/>
                <w:szCs w:val="16"/>
                <w:u w:val="none"/>
                <w:lang w:val="en-US" w:eastAsia="zh-CN"/>
              </w:rPr>
            </w:pPr>
            <w:r>
              <w:rPr>
                <w:rFonts w:ascii="宋体" w:eastAsia="宋体" w:hAnsi="宋体" w:cs="宋体" w:hint="eastAsia"/>
                <w:i w:val="0"/>
                <w:iCs w:val="0"/>
                <w:color w:val="auto"/>
                <w:kern w:val="0.0"/>
                <w:sz w:val="16"/>
                <w:szCs w:val="16"/>
                <w:u w:val="none"/>
                <w:lang w:val="en-US" w:eastAsia="zh-CN"/>
              </w:rPr>
              <w:t xml:space="preserve">天津一商集团有限公司</w:t>
            </w:r>
          </w:p>
        </w:tc>
        <w:tc>
          <w:tcPr>
            <w:tcW w:w="148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10"/>
            <w:tcBorders>
              <w:top w:val="single" w:sz="4" w:space="0" w:color="000000"/>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注：本表反映本年度取得的各项收入情况。财政专户管理资金是指教育收费；事业收入不含教育收费。</w:t>
            </w:r>
          </w:p>
        </w:tc>
      </w:tr>
    </w:tbl>
    <w:p>
      <w:pPr>
        <w:sectPr>
          <w:footerReference w:type="default" r:id="rId6"/>
          <w:pgSz w:w="16838" w:h="11906" w:orient="landscape"/>
          <w:pgMar w:top="1800" w:right="1440" w:bottom="1800" w:left="144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pPr>
    </w:p>
    <w:p>
      <w:pPr>
        <w:pStyle w:val="标题2"/>
        <w:wordWrap w:val="0"/>
        <w:spacing w:before="0" w:after="0" w:line="800" w:lineRule="exact"/>
        <w:ind w:firstLine="600" w:firstLineChars="200"/>
        <w:rPr>
          <w:rFonts w:ascii="黑体" w:eastAsia="黑体" w:hAnsi="黑体" w:hint="eastAsia"/>
          <w:sz w:val="30"/>
          <w:szCs w:val="30"/>
          <w:lang w:val="en-US" w:eastAsia="zh-CN"/>
        </w:rPr>
      </w:pPr>
      <w:bookmarkStart w:id="7" w:name="_Toc16222"/>
      <w:r>
        <w:rPr>
          <w:rFonts w:ascii="黑体" w:eastAsia="黑体" w:hAnsi="黑体" w:hint="eastAsia"/>
          <w:sz w:val="30"/>
          <w:szCs w:val="30"/>
          <w:lang w:val="en-US" w:eastAsia="zh-CN"/>
        </w:rPr>
        <w:t xml:space="preserve">四、《支出决算表》</w:t>
      </w:r>
      <w:bookmarkEnd w:id="7"/>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962"/>
        <w:gridCol w:w="3228"/>
        <w:gridCol w:w="1980"/>
        <w:gridCol w:w="1968"/>
        <w:gridCol w:w="2016"/>
        <w:gridCol w:w="2010"/>
        <w:gridCol w:w="2062"/>
        <w:gridCol w:w="2062"/>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138" w:type="dxa"/>
            <w:gridSpan w:val="4"/>
            <w:tcBorders>
              <w:top w:val="nil"/>
              <w:left w:val="nil"/>
              <w:bottom w:val="single" w:sz="4" w:space="0" w:color="000000"/>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2"/>
                <w:szCs w:val="22"/>
                <w:u w:val="none"/>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天津一商集团有限公司</w:t>
            </w:r>
          </w:p>
        </w:tc>
        <w:tc>
          <w:tcPr>
            <w:tcW w:w="2016" w:type="dxa"/>
            <w:tcBorders>
              <w:top w:val="nil"/>
              <w:left w:val="nil"/>
              <w:bottom w:val="single" w:sz="4" w:space="0" w:color="000000"/>
              <w:right w:val="nil"/>
            </w:tcBorders>
            <w:shd w:val="clear" w:color="auto" w:fill="FFFFFF"/>
            <w:noWrap w:val="1"/>
            <w:vAlign w:val="center"/>
          </w:tcPr>
          <w:p>
            <w:pPr>
              <w:divId w:val="0"/>
              <w:snapToGrid w:val="0"/>
              <w:jc w:val="center"/>
              <w:rPr>
                <w:rFonts w:ascii="宋体" w:eastAsia="宋体" w:hAnsi="宋体" w:cs="宋体" w:hint="eastAsia"/>
                <w:i w:val="0"/>
                <w:iCs w:val="0"/>
                <w:color w:val="000000"/>
                <w:sz w:val="22"/>
                <w:szCs w:val="22"/>
                <w:u w:val="none"/>
              </w:rPr>
            </w:pPr>
          </w:p>
        </w:tc>
        <w:tc>
          <w:tcPr>
            <w:tcW w:w="2010" w:type="dxa"/>
            <w:tcBorders>
              <w:top w:val="nil"/>
              <w:left w:val="nil"/>
              <w:bottom w:val="single" w:sz="4" w:space="0" w:color="000000"/>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2"/>
                <w:szCs w:val="22"/>
                <w:u w:val="none"/>
              </w:rPr>
            </w:pPr>
          </w:p>
        </w:tc>
        <w:tc>
          <w:tcPr>
            <w:tcW w:w="2062" w:type="dxa"/>
            <w:tcBorders>
              <w:top w:val="nil"/>
              <w:left w:val="nil"/>
              <w:bottom w:val="single" w:sz="4" w:space="0" w:color="000000"/>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2"/>
                <w:szCs w:val="22"/>
                <w:u w:val="none"/>
              </w:rPr>
            </w:pPr>
          </w:p>
        </w:tc>
        <w:tc>
          <w:tcPr>
            <w:tcW w:w="2062" w:type="dxa"/>
            <w:tcBorders>
              <w:top w:val="nil"/>
              <w:left w:val="nil"/>
              <w:bottom w:val="single" w:sz="4" w:space="0" w:color="000000"/>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2"/>
                <w:szCs w:val="22"/>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19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支出功能分类科目</w:t>
            </w:r>
          </w:p>
        </w:tc>
        <w:tc>
          <w:tcPr>
            <w:tcW w:w="198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本年支出合计</w:t>
            </w:r>
          </w:p>
        </w:tc>
        <w:tc>
          <w:tcPr>
            <w:tcW w:w="196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基本支出</w:t>
            </w:r>
          </w:p>
        </w:tc>
        <w:tc>
          <w:tcPr>
            <w:tcW w:w="201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201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上缴上级支出</w:t>
            </w:r>
          </w:p>
        </w:tc>
        <w:tc>
          <w:tcPr>
            <w:tcW w:w="20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经营支出</w:t>
            </w:r>
          </w:p>
        </w:tc>
        <w:tc>
          <w:tcPr>
            <w:tcW w:w="20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对附属单位补助支出</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9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322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9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12"/>
          <w:jc w:val="center"/>
        </w:trPr>
        <w:tc>
          <w:tcPr>
            <w:tcW w:w="9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32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190" w:type="dxa"/>
            <w:gridSpan w:val="2"/>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kern w:val="0.0"/>
                <w:sz w:val="20"/>
                <w:szCs w:val="20"/>
                <w:lang w:val="en-US" w:eastAsia="zh-CN"/>
              </w:rPr>
            </w:pPr>
            <w:r>
              <w:rPr>
                <w:rFonts w:ascii="Times New Roman" w:eastAsia="宋体" w:hAnsi="Times New Roman" w:cs="Times New Roman" w:hint="default"/>
                <w:kern w:val="0.0"/>
                <w:sz w:val="20"/>
                <w:szCs w:val="20"/>
                <w:lang w:val="en-US" w:eastAsia="zh-CN"/>
              </w:rPr>
              <w:t xml:space="preserve">582086.60</w:t>
            </w:r>
          </w:p>
          <w:p>
            <w:pPr>
              <w:divId w:val="0"/>
              <w:keepNext w:val="0"/>
              <w:keepLines w:val="0"/>
              <w:widowControl/>
              <w:suppressLineNumbers w:val="0"/>
              <w:snapToGrid w:val="0"/>
              <w:jc w:val="right"/>
              <w:rPr>
                <w:rFonts w:ascii="Times New Roman" w:eastAsia="宋体" w:hAnsi="Times New Roman" w:cs="Times New Roman" w:hint="default"/>
                <w:kern w:val="0.0"/>
                <w:sz w:val="20"/>
                <w:szCs w:val="20"/>
                <w:lang w:val="en-US" w:eastAsia="zh-CN"/>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kern w:val="0.0"/>
                <w:sz w:val="20"/>
                <w:szCs w:val="20"/>
                <w:lang w:val="en-US" w:eastAsia="zh-CN"/>
              </w:rPr>
            </w:pPr>
            <w:r>
              <w:rPr>
                <w:rFonts w:ascii="Times New Roman" w:eastAsia="宋体" w:hAnsi="Times New Roman" w:cs="Times New Roman" w:hint="default"/>
                <w:kern w:val="0.0"/>
                <w:sz w:val="20"/>
                <w:szCs w:val="20"/>
                <w:lang w:val="en-US" w:eastAsia="zh-CN"/>
              </w:rPr>
              <w:t xml:space="preserve">164494.60</w:t>
            </w:r>
          </w:p>
          <w:p>
            <w:pPr>
              <w:divId w:val="0"/>
              <w:keepNext w:val="0"/>
              <w:keepLines w:val="0"/>
              <w:widowControl/>
              <w:suppressLineNumbers w:val="0"/>
              <w:snapToGrid w:val="0"/>
              <w:jc w:val="right"/>
              <w:rPr>
                <w:rFonts w:ascii="Times New Roman" w:eastAsia="宋体" w:hAnsi="Times New Roman" w:cs="Times New Roman" w:hint="default"/>
                <w:kern w:val="0.0"/>
                <w:sz w:val="20"/>
                <w:szCs w:val="20"/>
                <w:lang w:val="en-US" w:eastAsia="zh-CN"/>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kern w:val="0.0"/>
                <w:sz w:val="20"/>
                <w:szCs w:val="20"/>
                <w:lang w:val="en-US" w:eastAsia="zh-CN"/>
              </w:rPr>
            </w:pPr>
            <w:r>
              <w:rPr>
                <w:rFonts w:ascii="Times New Roman" w:eastAsia="宋体" w:hAnsi="Times New Roman" w:cs="Times New Roman" w:hint="default"/>
                <w:kern w:val="0.0"/>
                <w:sz w:val="20"/>
                <w:szCs w:val="20"/>
                <w:lang w:val="en-US" w:eastAsia="zh-CN"/>
              </w:rPr>
              <w:t xml:space="preserve">417592.00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kern w:val="0.0"/>
                <w:sz w:val="20"/>
                <w:szCs w:val="20"/>
                <w:lang w:val="en-US" w:eastAsia="zh-CN"/>
              </w:rPr>
            </w:pPr>
          </w:p>
          <w:p>
            <w:pPr>
              <w:divId w:val="0"/>
              <w:keepNext w:val="0"/>
              <w:keepLines w:val="0"/>
              <w:widowControl/>
              <w:suppressLineNumbers w:val="0"/>
              <w:snapToGrid w:val="0"/>
              <w:jc w:val="right"/>
              <w:rPr>
                <w:rFonts w:ascii="Times New Roman" w:eastAsia="宋体" w:hAnsi="Times New Roman" w:cs="Times New Roman" w:hint="default"/>
                <w:kern w:val="0.0"/>
                <w:sz w:val="20"/>
                <w:szCs w:val="20"/>
                <w:lang w:val="en-US" w:eastAsia="zh-CN"/>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kern w:val="0.0"/>
                <w:sz w:val="20"/>
                <w:szCs w:val="20"/>
                <w:lang w:val="en-US" w:eastAsia="zh-CN"/>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kern w:val="0.0"/>
                <w:sz w:val="20"/>
                <w:szCs w:val="20"/>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208</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社会保障和就业支出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582086.60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164494.60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417592.00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20805</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行政事业单位养老支出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164494.60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164494.60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2080501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行政单位离退休</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164494.60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164494.60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20899</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其他社会保障和就业支出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417592.00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417592.00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2089999</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其他社会保障和就业支出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417592.00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417592.00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8"/>
            <w:tcBorders>
              <w:top w:val="single" w:sz="4" w:space="0" w:color="000000"/>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注：本表反映本年度各项支出情况。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8" w:name="_Toc10133"/>
      <w:r>
        <w:rPr>
          <w:rFonts w:ascii="黑体" w:eastAsia="黑体" w:hAnsi="黑体" w:hint="eastAsia"/>
          <w:sz w:val="30"/>
          <w:szCs w:val="30"/>
          <w:lang w:val="en-US" w:eastAsia="zh-CN"/>
        </w:rPr>
        <w:t xml:space="preserve">五、《财政拨款收入支出决算总表》</w:t>
      </w:r>
      <w:bookmarkEnd w:id="8"/>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3051"/>
        <w:gridCol w:w="2324"/>
        <w:gridCol w:w="2968"/>
        <w:gridCol w:w="2004"/>
        <w:gridCol w:w="1992"/>
        <w:gridCol w:w="1932"/>
        <w:gridCol w:w="201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343" w:type="dxa"/>
            <w:gridSpan w:val="3"/>
            <w:tcBorders>
              <w:top w:val="nil"/>
              <w:left w:val="nil"/>
              <w:bottom w:val="nil"/>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天津一商集团有限公司</w:t>
            </w:r>
          </w:p>
        </w:tc>
        <w:tc>
          <w:tcPr>
            <w:tcW w:w="2004" w:type="dxa"/>
            <w:tcBorders>
              <w:top w:val="nil"/>
              <w:left w:val="nil"/>
              <w:bottom w:val="nil"/>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992" w:type="dxa"/>
            <w:tcBorders>
              <w:top w:val="nil"/>
              <w:left w:val="nil"/>
              <w:bottom w:val="nil"/>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3949" w:type="dxa"/>
            <w:gridSpan w:val="2"/>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5375" w:type="dxa"/>
            <w:gridSpan w:val="2"/>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w:t>
            </w:r>
          </w:p>
        </w:tc>
        <w:tc>
          <w:tcPr>
            <w:tcW w:w="10913" w:type="dxa"/>
            <w:gridSpan w:val="5"/>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232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992"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一般公共预算财政拨款</w:t>
            </w:r>
          </w:p>
        </w:tc>
        <w:tc>
          <w:tcPr>
            <w:tcW w:w="1932"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政府性基金预算财政拨款</w:t>
            </w:r>
          </w:p>
        </w:tc>
        <w:tc>
          <w:tcPr>
            <w:tcW w:w="2017"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国有资本经营预算财政拨款</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582086.60</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一、一般公共服务支出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二、政府性基金预算财政拨款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二、公共安全支出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三、国有资本经营预算财政拨款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三、教育支出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四、科学技术支出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五、文化旅游体育与传媒支出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六、社会保障和就业支出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582086.60</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582086.60</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七、卫生健康支出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八、节能环保支出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九、城乡社区支出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十、农林水支出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十一、交通运输支出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十二、资源勘探工业信息等支出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十三、商业服务业等支出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十四、金融支出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十五、援助其他地区支出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十六、自然资源海洋气象等支出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十七、住房保障支出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十八、粮油物资储备支出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十九、国有资本经营预算支出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二十、灾害防治及应急管理支出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二十一、其他支出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二十二、债务付息支出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73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二十三、抗疫特别国债安排的支出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本年收入合计</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582086.60</w:t>
            </w: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本年支出合计</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582086.60</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582086.60</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年初财政拨款结转和结余</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年末财政拨款结转和结余</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spacing w:line="240" w:lineRule="auto"/>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一般公共预算财政拨款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ind w:left="0" w:firstLine="0" w:lef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政府性基金预算财政拨款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国有资本经营预算财政拨款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总计</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582086.60</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总计</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582086.60</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582086.60</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7"/>
            <w:tcBorders>
              <w:top w:val="single" w:sz="4" w:space="0" w:color="000000"/>
              <w:left w:val="nil"/>
              <w:bottom w:val="nil"/>
              <w:right w:val="nil"/>
            </w:tcBorders>
            <w:shd w:val="clear" w:color="auto" w:fill="FFFFFF"/>
            <w:noWrap w:val="1"/>
            <w:vAlign w:val="center"/>
          </w:tcPr>
          <w:p>
            <w:pPr>
              <w:divId w:val="0"/>
              <w:keepNext w:val="0"/>
              <w:keepLines w:val="0"/>
              <w:widowControl/>
              <w:suppressLineNumbers w:val="0"/>
              <w:snapToGrid w:val="0"/>
              <w:jc w:val="left"/>
              <w:textAlignment w:val="center"/>
              <w:rPr>
                <w:rFonts w:ascii="等线" w:eastAsia="等线" w:hAnsi="等线" w:cs="等线"/>
                <w:b w:val="0"/>
                <w:bCs w:val="0"/>
                <w:i w:val="0"/>
                <w:iCs w:val="0"/>
                <w:color w:val="333333"/>
                <w:spacing w:val="0"/>
                <w:w w:val="100"/>
                <w:sz w:val="20"/>
                <w:szCs w:val="20"/>
                <w:vertAlign w:val="baseline"/>
              </w:rPr>
            </w:pPr>
            <w:r>
              <w:rPr>
                <w:rFonts w:ascii="宋体" w:eastAsia="宋体" w:hAnsi="宋体" w:cs="宋体" w:hint="eastAsia"/>
                <w:i w:val="0"/>
                <w:iCs w:val="0"/>
                <w:color w:val="000000"/>
                <w:sz w:val="20"/>
                <w:szCs w:val="20"/>
                <w:u w:val="none"/>
              </w:rPr>
              <w:t xml:space="preserve">注：本表反映本年度一般公共预算财政拨款、政府性基金预算财政拨款和国有资本经营预算财政拨款的总收支和年末结转结余情况。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9" w:name="_Toc32088"/>
      <w:r>
        <w:rPr>
          <w:rFonts w:ascii="黑体" w:eastAsia="黑体" w:hAnsi="黑体" w:hint="eastAsia"/>
          <w:sz w:val="30"/>
          <w:szCs w:val="30"/>
          <w:lang w:val="en-US" w:eastAsia="zh-CN"/>
        </w:rPr>
        <w:t xml:space="preserve">六、《一般公共预算财政拨款支出决算表》</w:t>
      </w:r>
      <w:bookmarkEnd w:id="9"/>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166"/>
        <w:gridCol w:w="2891"/>
        <w:gridCol w:w="2446"/>
        <w:gridCol w:w="2446"/>
        <w:gridCol w:w="2446"/>
        <w:gridCol w:w="2446"/>
        <w:gridCol w:w="244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13841" w:type="dxa"/>
            <w:gridSpan w:val="6"/>
            <w:tcBorders>
              <w:top w:val="nil"/>
              <w:left w:val="nil"/>
              <w:bottom w:val="nil"/>
              <w:right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Style w:val="font41"/>
                <w:lang w:val="en-US" w:eastAsia="zh-CN"/>
              </w:rPr>
              <w:t xml:space="preserve">天津一商集团有限公司</w:t>
            </w:r>
          </w:p>
        </w:tc>
        <w:tc>
          <w:tcPr>
            <w:tcW w:w="2447" w:type="dxa"/>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4057" w:type="dxa"/>
            <w:gridSpan w:val="2"/>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支出功能分类科目</w:t>
            </w:r>
          </w:p>
        </w:tc>
        <w:tc>
          <w:tcPr>
            <w:tcW w:w="2446" w:type="dxa"/>
            <w:vMerge w:val="restart"/>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合计</w:t>
            </w:r>
          </w:p>
        </w:tc>
        <w:tc>
          <w:tcPr>
            <w:tcW w:w="7338" w:type="dxa"/>
            <w:gridSpan w:val="3"/>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基本支出</w:t>
            </w:r>
          </w:p>
        </w:tc>
        <w:tc>
          <w:tcPr>
            <w:tcW w:w="2447" w:type="dxa"/>
            <w:vMerge w:val="restart"/>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项目支出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6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科目编码</w:t>
            </w:r>
          </w:p>
        </w:tc>
        <w:tc>
          <w:tcPr>
            <w:tcW w:w="289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科目名称</w:t>
            </w:r>
          </w:p>
        </w:tc>
        <w:tc>
          <w:tcPr>
            <w:tcW w:w="2446" w:type="dxa"/>
            <w:vMerge/>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小计</w:t>
            </w: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人员经费</w:t>
            </w: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公用经费</w:t>
            </w:r>
          </w:p>
        </w:tc>
        <w:tc>
          <w:tcPr>
            <w:tcW w:w="2447" w:type="dxa"/>
            <w:vMerge/>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057" w:type="dxa"/>
            <w:gridSpan w:val="2"/>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合计</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582086.60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164494.60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164494.60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417592.00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208</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社会保障和就业支出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582086.60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164494.60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164494.60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417592.00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20805</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行政事业单位养老支出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164494.60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164494.60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164494.60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2080501</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行政单位离退休</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164494.60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164494.60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164494.60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20899</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其他社会保障和就业支出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417592.00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417592.00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2089999</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其他社会保障和就业支出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417592.00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417592.00</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7"/>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注：本表反映本年度一般公共预算财政拨款支出情况。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0" w:name="_Toc8838"/>
      <w:r>
        <w:rPr>
          <w:rFonts w:ascii="黑体" w:eastAsia="黑体" w:hAnsi="黑体" w:hint="eastAsia"/>
          <w:sz w:val="30"/>
          <w:szCs w:val="30"/>
          <w:lang w:val="en-US" w:eastAsia="zh-CN"/>
        </w:rPr>
        <w:t xml:space="preserve">七、《一般公共预算财政拨款基本支出决算表》</w:t>
      </w:r>
      <w:bookmarkEnd w:id="10"/>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723"/>
        <w:gridCol w:w="2475"/>
        <w:gridCol w:w="2231"/>
        <w:gridCol w:w="754"/>
        <w:gridCol w:w="2444"/>
        <w:gridCol w:w="2231"/>
        <w:gridCol w:w="797"/>
        <w:gridCol w:w="2401"/>
        <w:gridCol w:w="2232"/>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627" w:type="dxa"/>
            <w:gridSpan w:val="5"/>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天津一商集团有限公司</w:t>
            </w:r>
          </w:p>
        </w:tc>
        <w:tc>
          <w:tcPr>
            <w:tcW w:w="2231"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797"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4633" w:type="dxa"/>
            <w:gridSpan w:val="2"/>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5429" w:type="dxa"/>
            <w:gridSpan w:val="3"/>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人员经费</w:t>
            </w:r>
          </w:p>
        </w:tc>
        <w:tc>
          <w:tcPr>
            <w:tcW w:w="10859" w:type="dxa"/>
            <w:gridSpan w:val="6"/>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公用经费</w:t>
            </w:r>
          </w:p>
        </w:tc>
      </w:tr>
      <w:tr>
        <w:tblPrEx>
          <w:tblW w:w="16288" w:type="dxa"/>
          <w:jc w:val="center"/>
          <w:tblLayout w:type="fixed"/>
          <w:tblCellMar>
            <w:top w:w="0" w:type="dxa"/>
            <w:left w:w="108" w:type="dxa"/>
            <w:bottom w:w="0" w:type="dxa"/>
            <w:right w:w="108" w:type="dxa"/>
          </w:tblCellMar>
          <w:tblLook w:val="0000"/>
        </w:tblPrEx>
        <w:trPr>
          <w:trHeight w:hRule="exact" w:val="850"/>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2"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工资福利支出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商品和服务支出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30704</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国外债务发行费用</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基本工资</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办公费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310</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资本性支出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津贴补贴</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印刷费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房屋建筑物购建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奖金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手续费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办公设备购置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30106</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伙食补助费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专用设备购置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30107</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绩效工资</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电费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31005</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基础设施建设</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30108</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机关事业单位基本养老保险缴费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邮电费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31006</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大型修缮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职业年金缴费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取暖费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31007</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信息网络及软件购置更新</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30110</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职工基本医疗保险缴费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物业管理费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31008</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物资储备</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公务员医疗补助缴费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差旅费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土地补偿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其他社会保障缴费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因公出国（境）费用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31010</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安置补助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住房公积金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30213</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维</w:t>
            </w:r>
            <w:r>
              <w:rPr>
                <w:rFonts w:ascii="宋体" w:eastAsia="宋体" w:hAnsi="宋体" w:cs="宋体" w:hint="eastAsia"/>
                <w:i w:val="0"/>
                <w:iCs w:val="0"/>
                <w:color w:val="000000"/>
                <w:kern w:val="0.0"/>
                <w:sz w:val="20"/>
                <w:szCs w:val="20"/>
                <w:u w:val="none"/>
                <w:lang w:val="en-US" w:eastAsia="zh-CN"/>
              </w:rPr>
              <w:t xml:space="preserve">修</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护</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地上附着物和青苗补偿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30114</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医疗费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租赁费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拆迁补偿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30199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其他工资福利支出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会议费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公务用车购置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对个人和家庭的补助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164494.60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培训费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其他交通工具购置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离休费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公务接待费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31021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文物和陈列品购置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退休费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164494.60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专用材料费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31022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无形资产购置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退职（役）费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被装购置费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其他资本性支出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30304</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抚恤金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专用燃料费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312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对企业补助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30305</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生活补助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劳务费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资本金注入</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30306</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救济费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委托业务费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政府投资基金股权投资</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30307</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医疗费补助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工会经费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31204</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费用补贴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30308</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助学金</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福利费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31205</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利息补贴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奖励金</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30231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公务用车运行维护费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31206</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其他资本性补助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30310</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个人农业生产补贴</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30239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其他交通费用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其他对企业补助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30311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代缴社会保险费</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30240</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税金及附加费用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其他支出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30399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其他对个人和家庭的补助</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30299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其他商品和服务支出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39907</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国家赔偿费用支出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307</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债务利息及费用支出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39908</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对民间非营利组织和群众性自治组织补贴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30701</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国内债务付息</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39909</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经常性赠与</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30702</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国外债务付息</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39910</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资本性赠与</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30703</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国内债务发行费用</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39999</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其他支出</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198" w:type="dxa"/>
            <w:gridSpan w:val="2"/>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人员经费合计</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b/>
                <w:bCs/>
                <w:i w:val="0"/>
                <w:iCs w:val="0"/>
                <w:color w:val="000000"/>
                <w:sz w:val="20"/>
                <w:szCs w:val="20"/>
                <w:u w:val="none"/>
              </w:rPr>
            </w:pPr>
            <w:r>
              <w:rPr>
                <w:rFonts w:ascii="Times New Roman" w:eastAsia="宋体" w:hAnsi="Times New Roman" w:cs="Times New Roman" w:hint="default"/>
                <w:b/>
                <w:bCs/>
                <w:i w:val="0"/>
                <w:iCs w:val="0"/>
                <w:color w:val="000000"/>
                <w:kern w:val="0.0"/>
                <w:sz w:val="20"/>
                <w:szCs w:val="20"/>
                <w:u w:val="none"/>
                <w:lang w:val="en-US" w:eastAsia="zh-CN"/>
              </w:rPr>
              <w:t xml:space="preserve">164494.60</w:t>
            </w:r>
          </w:p>
        </w:tc>
        <w:tc>
          <w:tcPr>
            <w:tcW w:w="8627" w:type="dxa"/>
            <w:gridSpan w:val="5"/>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公用经费合计</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b/>
                <w:bCs/>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9"/>
            <w:tcBorders>
              <w:top w:val="single" w:sz="4" w:space="0" w:color="000000"/>
              <w:left w:val="nil"/>
              <w:bottom w:val="nil"/>
              <w:right w:val="nil"/>
            </w:tcBorders>
            <w:noWrap w:val="1"/>
            <w:vAlign w:val="center"/>
          </w:tcPr>
          <w:p>
            <w:pPr>
              <w:pStyle w:val="普通(网站)"/>
              <w:keepNext w:val="0"/>
              <w:keepLines w:val="0"/>
              <w:widowControl/>
              <w:suppressLineNumbers w:val="0"/>
              <w:snapToGrid w:val="0"/>
              <w:spacing w:before="60" w:beforeAutospacing="0" w:after="60" w:afterAutospacing="0"/>
              <w:ind w:left="0" w:right="0" w:leftChars="0" w:rightChars="0"/>
              <w:jc w:val="left"/>
              <w:rPr>
                <w:rFonts w:ascii="宋体" w:eastAsia="宋体" w:hAnsi="宋体" w:cs="宋体" w:hint="eastAsia"/>
                <w:b/>
                <w:bCs/>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注：本表反映本年度一般公共预算财政拨款支出情况。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1" w:name="_Toc2699"/>
      <w:r>
        <w:rPr>
          <w:rFonts w:ascii="黑体" w:eastAsia="黑体" w:hAnsi="黑体" w:hint="eastAsia"/>
          <w:b/>
          <w:bCs/>
          <w:sz w:val="30"/>
          <w:szCs w:val="30"/>
          <w:lang w:val="en-US" w:eastAsia="zh-CN"/>
        </w:rPr>
        <w:t xml:space="preserve">八、《政府性基金预算财政拨款收入支出决算表》</w:t>
      </w:r>
      <w:bookmarkEnd w:id="11"/>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35"/>
        <w:gridCol w:w="2828"/>
        <w:gridCol w:w="2070"/>
        <w:gridCol w:w="2071"/>
        <w:gridCol w:w="2071"/>
        <w:gridCol w:w="2071"/>
        <w:gridCol w:w="2071"/>
        <w:gridCol w:w="2071"/>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567"/>
          <w:tblHeader/>
          <w:jc w:val="center"/>
        </w:trPr>
        <w:tc>
          <w:tcPr>
            <w:tcW w:w="10075" w:type="dxa"/>
            <w:gridSpan w:val="5"/>
            <w:tcBorders>
              <w:top w:val="nil"/>
              <w:left w:val="nil"/>
              <w:bottom w:val="nil"/>
              <w:right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天津一商集团有限公司</w:t>
            </w:r>
          </w:p>
        </w:tc>
        <w:tc>
          <w:tcPr>
            <w:tcW w:w="2071" w:type="dxa"/>
            <w:tcBorders>
              <w:top w:val="nil"/>
              <w:left w:val="nil"/>
              <w:bottom w:val="nil"/>
              <w:right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071" w:type="dxa"/>
            <w:tcBorders>
              <w:top w:val="nil"/>
              <w:left w:val="nil"/>
              <w:bottom w:val="nil"/>
              <w:right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071" w:type="dxa"/>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3863"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支出功能分类科目</w:t>
            </w:r>
          </w:p>
        </w:tc>
        <w:tc>
          <w:tcPr>
            <w:tcW w:w="2070"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年初结转和结余</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w:t>
            </w:r>
          </w:p>
        </w:tc>
        <w:tc>
          <w:tcPr>
            <w:tcW w:w="6213"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年末结转和结余</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828"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w:t>
            </w:r>
            <w:r>
              <w:rPr>
                <w:rFonts w:ascii="宋体" w:eastAsia="宋体" w:hAnsi="宋体" w:cs="宋体" w:hint="eastAsia"/>
                <w:i w:val="0"/>
                <w:iCs w:val="0"/>
                <w:color w:val="000000"/>
                <w:kern w:val="0.0"/>
                <w:sz w:val="20"/>
                <w:szCs w:val="20"/>
                <w:u w:val="none"/>
                <w:lang w:val="en-US" w:eastAsia="zh-CN"/>
              </w:rPr>
              <w:t xml:space="preserve">出</w:t>
            </w:r>
            <w:r>
              <w:rPr>
                <w:rFonts w:ascii="宋体" w:eastAsia="宋体" w:hAnsi="宋体" w:cs="宋体" w:hint="eastAsia"/>
                <w:i w:val="0"/>
                <w:iCs w:val="0"/>
                <w:color w:val="000000"/>
                <w:kern w:val="0.0"/>
                <w:sz w:val="20"/>
                <w:szCs w:val="20"/>
                <w:u w:val="none"/>
                <w:lang w:val="en-US" w:eastAsia="zh-CN"/>
              </w:rPr>
              <w:t xml:space="preserve">  </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82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82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tblHeader/>
          <w:jc w:val="center"/>
        </w:trPr>
        <w:tc>
          <w:tcPr>
            <w:tcW w:w="3863"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207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35"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p>
        </w:tc>
        <w:tc>
          <w:tcPr>
            <w:tcW w:w="28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p>
        </w:tc>
        <w:tc>
          <w:tcPr>
            <w:tcW w:w="2070"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注：本表反映本年度政府性基金预算财政拨款收入、支出及结转和结余情况。</w:t>
            </w:r>
          </w:p>
        </w:tc>
      </w:tr>
    </w:tbl>
    <w:p>
      <w:pPr>
        <w:divId w:val="0"/>
        <w:keepNext w:val="0"/>
        <w:keepLines w:val="0"/>
        <w:widowControl/>
        <w:suppressLineNumbers w:val="0"/>
        <w:snapToGrid w:val="0"/>
        <w:ind w:left="-960" w:firstLine="0" w:leftChars="-400" w:firstLineChars="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天津一商集团有限公司2025年度政府性基金预算财政拨款收入支出决算表为空表。</w:t>
      </w:r>
    </w:p>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2" w:name="_Toc11009"/>
      <w:r>
        <w:rPr>
          <w:rFonts w:ascii="黑体" w:eastAsia="黑体" w:hAnsi="黑体" w:hint="eastAsia"/>
          <w:b/>
          <w:bCs/>
          <w:sz w:val="30"/>
          <w:szCs w:val="30"/>
          <w:lang w:val="en-US" w:eastAsia="zh-CN"/>
        </w:rPr>
        <w:t xml:space="preserve">九、《国有资本经营预算财政拨款收入支出决算表》</w:t>
      </w:r>
      <w:bookmarkEnd w:id="12"/>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59"/>
        <w:gridCol w:w="4663"/>
        <w:gridCol w:w="1761"/>
        <w:gridCol w:w="1761"/>
        <w:gridCol w:w="1761"/>
        <w:gridCol w:w="1761"/>
        <w:gridCol w:w="1761"/>
        <w:gridCol w:w="1761"/>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tblHeader/>
          <w:jc w:val="center"/>
        </w:trPr>
        <w:tc>
          <w:tcPr>
            <w:tcW w:w="9244" w:type="dxa"/>
            <w:gridSpan w:val="4"/>
            <w:tcBorders>
              <w:top w:val="nil"/>
              <w:left w:val="nil"/>
              <w:bottom w:val="nil"/>
              <w:right w:val="nil"/>
            </w:tcBorders>
            <w:noWrap w:val="1"/>
            <w:vAlign w:val="center"/>
          </w:tcPr>
          <w:p>
            <w:pPr>
              <w:divId w:val="0"/>
              <w:snapToGrid w:val="0"/>
              <w:jc w:val="left"/>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天津一商集团有限公司</w:t>
            </w: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5722"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Style w:val="font11"/>
                <w:sz w:val="20"/>
                <w:szCs w:val="20"/>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年初结转和结余</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w:t>
            </w:r>
          </w:p>
        </w:tc>
        <w:tc>
          <w:tcPr>
            <w:tcW w:w="5283"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年末结转和结余</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466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w:t>
            </w:r>
            <w:r>
              <w:rPr>
                <w:rFonts w:ascii="宋体" w:eastAsia="宋体" w:hAnsi="宋体" w:cs="宋体" w:hint="eastAsia"/>
                <w:i w:val="0"/>
                <w:iCs w:val="0"/>
                <w:color w:val="000000"/>
                <w:kern w:val="0.0"/>
                <w:sz w:val="20"/>
                <w:szCs w:val="20"/>
                <w:u w:val="none"/>
                <w:lang w:val="en-US" w:eastAsia="zh-CN"/>
              </w:rPr>
              <w:t xml:space="preserve">出</w:t>
            </w:r>
            <w:r>
              <w:rPr>
                <w:rFonts w:ascii="宋体" w:eastAsia="宋体" w:hAnsi="宋体" w:cs="宋体" w:hint="eastAsia"/>
                <w:i w:val="0"/>
                <w:iCs w:val="0"/>
                <w:color w:val="000000"/>
                <w:kern w:val="0.0"/>
                <w:sz w:val="20"/>
                <w:szCs w:val="20"/>
                <w:u w:val="none"/>
                <w:lang w:val="en-US" w:eastAsia="zh-CN"/>
              </w:rPr>
              <w:t xml:space="preserve">  </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4663"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4663"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tblHeader/>
          <w:jc w:val="center"/>
        </w:trPr>
        <w:tc>
          <w:tcPr>
            <w:tcW w:w="5722"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auto"/>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auto"/>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auto"/>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auto"/>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auto"/>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auto"/>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5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p>
        </w:tc>
        <w:tc>
          <w:tcPr>
            <w:tcW w:w="466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注：本表反映本年度国有资本</w:t>
            </w:r>
            <w:r>
              <w:rPr>
                <w:rFonts w:ascii="宋体" w:eastAsia="宋体" w:hAnsi="宋体" w:cs="宋体" w:hint="eastAsia"/>
                <w:b w:val="0"/>
                <w:bCs w:val="0"/>
                <w:i w:val="0"/>
                <w:iCs w:val="0"/>
                <w:color w:val="000000"/>
                <w:kern w:val="0.0"/>
                <w:sz w:val="20"/>
                <w:szCs w:val="20"/>
                <w:u w:val="none"/>
                <w:lang w:val="en-US" w:eastAsia="zh-CN"/>
              </w:rPr>
              <w:t xml:space="preserve">经营预算财政拨款收入、支</w:t>
            </w:r>
            <w:r>
              <w:rPr>
                <w:rFonts w:ascii="宋体" w:eastAsia="宋体" w:hAnsi="宋体" w:cs="宋体" w:hint="eastAsia"/>
                <w:i w:val="0"/>
                <w:iCs w:val="0"/>
                <w:color w:val="000000"/>
                <w:kern w:val="0.0"/>
                <w:sz w:val="20"/>
                <w:szCs w:val="20"/>
                <w:u w:val="none"/>
                <w:lang w:val="en-US" w:eastAsia="zh-CN"/>
              </w:rPr>
              <w:t xml:space="preserve">出及结转和结余情况。</w:t>
            </w:r>
          </w:p>
        </w:tc>
      </w:tr>
    </w:tbl>
    <w:p>
      <w:pPr>
        <w:divId w:val="0"/>
        <w:keepNext w:val="0"/>
        <w:keepLines w:val="0"/>
        <w:widowControl/>
        <w:suppressLineNumbers w:val="0"/>
        <w:snapToGrid w:val="0"/>
        <w:ind w:left="-960" w:firstLine="0" w:leftChars="-400" w:firstLineChars="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天津一商集团有限公司2025年度国有资本经营预算财政拨款收入支出决算表为空表。</w:t>
      </w:r>
    </w:p>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3" w:name="_Toc25214"/>
      <w:r>
        <w:rPr>
          <w:rFonts w:ascii="黑体" w:eastAsia="黑体" w:hAnsi="黑体" w:hint="eastAsia"/>
          <w:b/>
          <w:bCs/>
          <w:sz w:val="30"/>
          <w:szCs w:val="30"/>
          <w:lang w:val="en-US" w:eastAsia="zh-CN"/>
        </w:rPr>
        <w:t xml:space="preserve">十、《财政拨款“三公”经费支出决算表》</w:t>
      </w:r>
      <w:bookmarkEnd w:id="13"/>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2668"/>
        <w:gridCol w:w="3018"/>
        <w:gridCol w:w="2668"/>
        <w:gridCol w:w="2668"/>
        <w:gridCol w:w="2669"/>
        <w:gridCol w:w="259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9448" w:type="dxa"/>
            <w:gridSpan w:val="4"/>
            <w:tcBorders>
              <w:bottom w:val="single" w:sz="4" w:space="0" w:color="auto"/>
              <w:tl2br w:val="nil"/>
              <w:tr2bl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天津一商集团有限公司</w:t>
            </w:r>
          </w:p>
        </w:tc>
        <w:tc>
          <w:tcPr>
            <w:tcW w:w="2299" w:type="dxa"/>
            <w:tcBorders>
              <w:bottom w:val="single" w:sz="4" w:space="0" w:color="auto"/>
              <w:tl2br w:val="nil"/>
              <w:tr2bl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299" w:type="dxa"/>
            <w:tcBorders>
              <w:bottom w:val="single" w:sz="4" w:space="0" w:color="auto"/>
              <w:tl2br w:val="nil"/>
              <w:tr2bl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362"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2362"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因公出国（境）费</w:t>
            </w:r>
          </w:p>
        </w:tc>
        <w:tc>
          <w:tcPr>
            <w:tcW w:w="7087" w:type="dxa"/>
            <w:gridSpan w:val="3"/>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公务用车购置及运行维护费</w:t>
            </w:r>
          </w:p>
        </w:tc>
        <w:tc>
          <w:tcPr>
            <w:tcW w:w="2299"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公务接待费</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362"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c>
          <w:tcPr>
            <w:tcW w:w="2362"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c>
          <w:tcPr>
            <w:tcW w:w="236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236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购置费</w:t>
            </w: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运行维护费</w:t>
            </w:r>
          </w:p>
        </w:tc>
        <w:tc>
          <w:tcPr>
            <w:tcW w:w="2299"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2298"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67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301"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4168" w:type="dxa"/>
            <w:gridSpan w:val="6"/>
            <w:tcBorders>
              <w:top w:val="single" w:sz="4" w:space="0" w:color="auto"/>
              <w:tl2br w:val="nil"/>
              <w:tr2bl w:val="nil"/>
            </w:tcBorders>
            <w:vAlign w:val="center"/>
          </w:tcPr>
          <w:p>
            <w:pPr>
              <w:divId w:val="0"/>
              <w:snapToGrid w:val="0"/>
              <w:jc w:val="left"/>
              <w:rPr>
                <w:rFonts w:ascii="等线" w:eastAsia="等线" w:hAnsi="等线" w:cs="等线"/>
                <w:b w:val="0"/>
                <w:bCs w:val="0"/>
                <w:i w:val="0"/>
                <w:iCs w:val="0"/>
                <w:color w:val="333333"/>
                <w:spacing w:val="0"/>
                <w:w w:val="100"/>
                <w:sz w:val="20"/>
                <w:szCs w:val="20"/>
                <w:vertAlign w:val="baseline"/>
              </w:rPr>
            </w:pPr>
            <w:r>
              <w:rPr>
                <w:rFonts w:ascii="宋体" w:eastAsia="宋体" w:hAnsi="宋体" w:cs="宋体" w:hint="eastAsia"/>
                <w:i w:val="0"/>
                <w:iCs w:val="0"/>
                <w:color w:val="000000"/>
                <w:kern w:val="0.0"/>
                <w:sz w:val="20"/>
                <w:szCs w:val="20"/>
                <w:u w:val="none"/>
                <w:lang w:val="en-US" w:eastAsia="zh-CN"/>
              </w:rPr>
              <w:t xml:space="preserve">注：本表反映本年度一般公共预算和政府性基金预</w:t>
            </w:r>
            <w:r>
              <w:rPr>
                <w:rFonts w:ascii="宋体" w:eastAsia="宋体" w:hAnsi="宋体" w:cs="宋体" w:hint="eastAsia"/>
                <w:i w:val="0"/>
                <w:iCs w:val="0"/>
                <w:color w:val="000000"/>
                <w:kern w:val="0.0"/>
                <w:sz w:val="20"/>
                <w:szCs w:val="20"/>
                <w:u w:val="none"/>
                <w:lang w:val="en-US" w:eastAsia="zh-CN"/>
              </w:rPr>
              <w:t xml:space="preserve">算</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三</w:t>
            </w:r>
            <w:r>
              <w:rPr>
                <w:rFonts w:ascii="宋体" w:eastAsia="宋体" w:hAnsi="宋体" w:cs="宋体" w:hint="eastAsia"/>
                <w:i w:val="0"/>
                <w:iCs w:val="0"/>
                <w:color w:val="000000"/>
                <w:kern w:val="0.0"/>
                <w:sz w:val="20"/>
                <w:szCs w:val="20"/>
                <w:u w:val="none"/>
                <w:lang w:val="en-US" w:eastAsia="zh-CN"/>
              </w:rPr>
              <w:t xml:space="preserve">公</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经费支出决算情况。</w:t>
            </w:r>
          </w:p>
        </w:tc>
      </w:tr>
    </w:tbl>
    <w:p>
      <w:pPr>
        <w:divId w:val="0"/>
        <w:snapToGrid w:val="0"/>
        <w:ind w:left="-960" w:firstLine="0" w:leftChars="-40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天津一商集团有限公司2025年财政拨款“三公”经费支出决算表为空表。</w:t>
      </w:r>
    </w:p>
    <w:p>
      <w:pPr>
        <w:pStyle w:val="标题2"/>
        <w:wordWrap w:val="0"/>
        <w:spacing w:before="0" w:after="0" w:line="800" w:lineRule="exact"/>
        <w:ind w:firstLine="600" w:firstLineChars="200"/>
        <w:rPr>
          <w:rFonts w:ascii="黑体" w:eastAsia="黑体" w:hAnsi="黑体" w:hint="eastAsia"/>
          <w:b w:val="0"/>
          <w:sz w:val="30"/>
          <w:szCs w:val="30"/>
          <w:highlight w:val="none"/>
        </w:rPr>
      </w:pPr>
      <w:r>
        <w:rPr>
          <w:rFonts w:ascii="黑体" w:eastAsia="黑体" w:hAnsi="仿宋" w:hint="eastAsia"/>
          <w:sz w:val="21"/>
          <w:szCs w:val="21"/>
          <w:lang w:val="en-US" w:eastAsia="zh-CN"/>
        </w:rPr>
        <w:br w:type="page"/>
      </w:r>
      <w:bookmarkStart w:id="14" w:name="_Toc18972"/>
      <w:r>
        <w:rPr>
          <w:rFonts w:ascii="黑体" w:eastAsia="黑体" w:hAnsi="黑体" w:hint="eastAsia"/>
          <w:b/>
          <w:bCs/>
          <w:sz w:val="30"/>
          <w:szCs w:val="30"/>
          <w:lang w:val="en-US" w:eastAsia="zh-CN"/>
        </w:rPr>
        <w:t xml:space="preserve">十一、《项目支出决算表》</w:t>
      </w:r>
      <w:bookmarkEnd w:id="14"/>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131"/>
        <w:gridCol w:w="2838"/>
        <w:gridCol w:w="2053"/>
        <w:gridCol w:w="2053"/>
        <w:gridCol w:w="2053"/>
        <w:gridCol w:w="2053"/>
        <w:gridCol w:w="2053"/>
        <w:gridCol w:w="2054"/>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567"/>
          <w:jc w:val="center"/>
        </w:trPr>
        <w:tc>
          <w:tcPr>
            <w:tcW w:w="8075" w:type="dxa"/>
            <w:gridSpan w:val="4"/>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天津一商集团有限公司</w:t>
            </w:r>
          </w:p>
        </w:tc>
        <w:tc>
          <w:tcPr>
            <w:tcW w:w="2053"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2053"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4107" w:type="dxa"/>
            <w:gridSpan w:val="2"/>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31" w:type="dxa"/>
            <w:vMerge w:val="restart"/>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838" w:type="dxa"/>
            <w:vMerge w:val="restart"/>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2319" w:type="dxa"/>
            <w:gridSpan w:val="6"/>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年</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支</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31" w:type="dxa"/>
            <w:vMerge/>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center"/>
              <w:rPr>
                <w:rFonts w:ascii="宋体" w:eastAsia="宋体" w:hAnsi="宋体" w:cs="宋体" w:hint="eastAsia"/>
                <w:i w:val="0"/>
                <w:iCs w:val="0"/>
                <w:color w:val="000000"/>
                <w:sz w:val="20"/>
                <w:szCs w:val="20"/>
                <w:u w:val="none"/>
              </w:rPr>
            </w:pPr>
          </w:p>
        </w:tc>
        <w:tc>
          <w:tcPr>
            <w:tcW w:w="2838" w:type="dxa"/>
            <w:vMerge/>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center"/>
              <w:rPr>
                <w:rFonts w:ascii="宋体" w:eastAsia="宋体" w:hAnsi="宋体" w:cs="宋体" w:hint="eastAsia"/>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计</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一般公共</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政府性基金</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国有资本</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经营预算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财政专户</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管理资金</w:t>
            </w:r>
          </w:p>
        </w:tc>
        <w:tc>
          <w:tcPr>
            <w:tcW w:w="20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单位资金</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969"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计</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highlight w:val="none"/>
                <w:u w:val="none"/>
                <w:lang w:val="en-US" w:eastAsia="zh-CN"/>
              </w:rPr>
              <w:t xml:space="preserve">417592.00</w:t>
            </w: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highlight w:val="none"/>
                <w:u w:val="none"/>
                <w:lang w:val="en-US" w:eastAsia="zh-CN"/>
              </w:rPr>
              <w:t xml:space="preserve">417592.00</w:t>
            </w: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0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社会保障和就业支出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417592.00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417592.00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20899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其他社会保障和就业支出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417592.00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417592.00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2089999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其他社会保障和就业支出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417592.00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417592.00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注：本表反映本年度项目支出决算情况，其中支出数包括当年预算资金和以前年度结转资金安排的合计实际支出。</w:t>
            </w:r>
          </w:p>
        </w:tc>
      </w:tr>
    </w:tbl>
    <w:p>
      <w:pPr>
        <w:sectPr>
          <w:footerReference w:type="default" r:id="rId7"/>
          <w:pgSz w:w="16838" w:h="11906" w:orient="landscape"/>
          <w:pgMar w:top="1800" w:right="1440" w:bottom="1800" w:left="144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pPr>
    </w:p>
    <w:p>
      <w:pPr>
        <w:pStyle w:val="标题1"/>
        <w:wordWrap w:val="0"/>
        <w:spacing w:before="0" w:after="0" w:line="600" w:lineRule="exact"/>
        <w:jc w:val="center"/>
        <w:rPr>
          <w:rFonts w:ascii="方正小标宋简体" w:eastAsia="方正小标宋简体" w:hAnsi="方正小标宋简体" w:cs="方正小标宋简体"/>
          <w:b w:val="0"/>
          <w:sz w:val="44"/>
          <w:szCs w:val="44"/>
          <w:highlight w:val="none"/>
        </w:rPr>
      </w:pPr>
      <w:bookmarkStart w:id="15" w:name="_Toc7922"/>
      <w:r>
        <w:rPr>
          <w:rFonts w:ascii="方正小标宋简体" w:eastAsia="方正小标宋简体" w:hAnsi="方正小标宋简体" w:cs="方正小标宋简体" w:hint="eastAsia"/>
          <w:b w:val="0"/>
          <w:bCs w:val="0"/>
          <w:lang w:val="en-US" w:eastAsia="zh-CN"/>
        </w:rPr>
        <w:t xml:space="preserve">第三部分  2025年度部门决算情况说明</w:t>
      </w:r>
      <w:bookmarkEnd w:id="15"/>
    </w:p>
    <w:p>
      <w:pPr>
        <w:divId w:val="0"/>
        <w:spacing w:line="600" w:lineRule="exact"/>
        <w:ind w:firstLine="600" w:firstLineChars="200"/>
        <w:rPr>
          <w:rFonts w:ascii="黑体" w:eastAsia="黑体" w:hint="eastAsia"/>
          <w:sz w:val="30"/>
          <w:szCs w:val="30"/>
          <w:highlight w:val="none"/>
        </w:rPr>
      </w:pPr>
    </w:p>
    <w:p>
      <w:pPr>
        <w:pStyle w:val="标题2"/>
        <w:wordWrap w:val="0"/>
        <w:spacing w:before="0" w:after="0" w:line="600" w:lineRule="exact"/>
        <w:ind w:firstLine="600" w:firstLineChars="200"/>
        <w:rPr>
          <w:rFonts w:ascii="黑体" w:eastAsia="黑体" w:hAnsi="黑体" w:cs="方正仿宋_GB2312" w:hint="eastAsia"/>
          <w:bCs w:val="0"/>
          <w:sz w:val="30"/>
          <w:szCs w:val="30"/>
          <w:lang w:val="en-US" w:eastAsia="zh-CN"/>
        </w:rPr>
      </w:pPr>
      <w:bookmarkStart w:id="16" w:name="_Toc7052"/>
      <w:r>
        <w:rPr>
          <w:rFonts w:ascii="黑体" w:eastAsia="黑体" w:hAnsi="黑体" w:cs="方正仿宋_GB2312" w:hint="eastAsia"/>
          <w:bCs w:val="0"/>
          <w:sz w:val="30"/>
          <w:szCs w:val="30"/>
          <w:lang w:val="en-US" w:eastAsia="zh-CN"/>
        </w:rPr>
        <w:t xml:space="preserve">一、收入支出决算总体情况说明</w:t>
      </w:r>
      <w:bookmarkEnd w:id="16"/>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天津一商集团有限公司</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年度收入、支出决算总</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582,086.60</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年度相比，收、支总计</w:t>
      </w:r>
      <w:r>
        <w:rPr>
          <w:rFonts w:eastAsia="仿宋_GB2312" w:hint="eastAsia"/>
          <w:sz w:val="30"/>
          <w:szCs w:val="30"/>
          <w:highlight w:val="none"/>
          <w:lang w:val="en-US" w:eastAsia="zh-CN"/>
        </w:rPr>
        <w:t xml:space="preserve">各</w:t>
      </w:r>
      <w:r>
        <w:rPr>
          <w:rFonts w:eastAsia="仿宋_GB2312" w:hint="eastAsia"/>
          <w:sz w:val="30"/>
          <w:szCs w:val="30"/>
          <w:highlight w:val="none"/>
          <w:lang w:val="en-US" w:eastAsia="zh-CN"/>
        </w:rPr>
        <w:t xml:space="preserve">减少123,045.40元，下降17.45%</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抚恤金支出减少</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收入包括：</w:t>
      </w:r>
      <w:r>
        <w:rPr>
          <w:rFonts w:eastAsia="仿宋_GB2312" w:hint="eastAsia"/>
          <w:sz w:val="30"/>
          <w:szCs w:val="30"/>
          <w:highlight w:val="none"/>
          <w:lang w:val="en-US" w:eastAsia="zh-CN"/>
        </w:rPr>
        <w:t xml:space="preserve">一般公共预算财政拨款收入582,086.60元</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bookmarkStart w:id="17" w:name="_Toc6621"/>
      <w:r>
        <w:rPr>
          <w:rFonts w:eastAsia="仿宋_GB2312" w:hint="eastAsia"/>
          <w:sz w:val="30"/>
          <w:szCs w:val="30"/>
          <w:highlight w:val="none"/>
          <w:lang w:val="en-US" w:eastAsia="zh-CN"/>
        </w:rPr>
        <w:t xml:space="preserve">支出包括：</w:t>
      </w:r>
      <w:r>
        <w:rPr>
          <w:rFonts w:eastAsia="仿宋_GB2312" w:hint="eastAsia"/>
          <w:sz w:val="30"/>
          <w:szCs w:val="30"/>
          <w:highlight w:val="none"/>
          <w:lang w:val="en-US" w:eastAsia="zh-CN"/>
        </w:rPr>
        <w:t xml:space="preserve">社会保障和就业支出582,086.60元</w:t>
      </w:r>
      <w:r>
        <w:rPr>
          <w:rFonts w:eastAsia="仿宋_GB2312" w:hint="eastAsia"/>
          <w:sz w:val="30"/>
          <w:szCs w:val="30"/>
          <w:highlight w:val="none"/>
          <w:lang w:val="en-US" w:eastAsia="zh-CN"/>
        </w:rPr>
        <w:t xml:space="preserve">。</w:t>
      </w:r>
    </w:p>
    <w:p>
      <w:pPr>
        <w:pStyle w:val="标题2"/>
        <w:wordWrap w:val="0"/>
        <w:spacing w:before="0" w:after="0" w:line="600" w:lineRule="exact"/>
        <w:ind w:firstLine="600" w:firstLineChars="200"/>
        <w:rPr>
          <w:rFonts w:ascii="黑体" w:eastAsia="黑体" w:hAnsi="黑体" w:cs="方正仿宋_GB2312" w:hint="eastAsia"/>
          <w:bCs w:val="0"/>
          <w:sz w:val="30"/>
          <w:szCs w:val="30"/>
          <w:lang w:val="en-US" w:eastAsia="zh-CN"/>
        </w:rPr>
      </w:pPr>
      <w:r>
        <w:rPr>
          <w:rFonts w:ascii="黑体" w:eastAsia="黑体" w:hAnsi="黑体" w:cs="方正仿宋_GB2312" w:hint="eastAsia"/>
          <w:bCs w:val="0"/>
          <w:sz w:val="30"/>
          <w:szCs w:val="30"/>
          <w:lang w:val="en-US" w:eastAsia="zh-CN"/>
        </w:rPr>
        <w:t xml:space="preserve">二、收入决算情况说明</w:t>
      </w:r>
      <w:bookmarkEnd w:id="17"/>
    </w:p>
    <w:p>
      <w:pPr>
        <w:divId w:val="0"/>
        <w:spacing w:line="600" w:lineRule="exact"/>
        <w:ind w:firstLine="600"/>
        <w:rPr>
          <w:rFonts w:eastAsia="仿宋_GB2312" w:hint="eastAsia"/>
          <w:sz w:val="30"/>
          <w:szCs w:val="30"/>
          <w:highlight w:val="yellow"/>
          <w:lang w:val="en-US" w:eastAsia="zh-CN"/>
        </w:rPr>
      </w:pPr>
      <w:r>
        <w:rPr>
          <w:rFonts w:eastAsia="仿宋_GB2312" w:hint="eastAsia"/>
          <w:sz w:val="30"/>
          <w:szCs w:val="30"/>
          <w:highlight w:val="none"/>
          <w:lang w:val="en-US" w:eastAsia="zh-CN"/>
        </w:rPr>
        <w:t xml:space="preserve">天津一商集团有限公司</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年度本年收入合</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582,086.60</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减少123,045.40元，</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抚恤金支出减少</w:t>
      </w:r>
      <w:r>
        <w:rPr>
          <w:rFonts w:eastAsia="仿宋_GB2312" w:hint="eastAsia"/>
          <w:sz w:val="30"/>
          <w:szCs w:val="30"/>
          <w:highlight w:val="none"/>
          <w:lang w:val="en-US" w:eastAsia="zh-CN"/>
        </w:rPr>
        <w:t xml:space="preserve">。其中：</w:t>
      </w:r>
      <w:r>
        <w:rPr>
          <w:rFonts w:eastAsia="仿宋_GB2312" w:hint="eastAsia"/>
          <w:sz w:val="30"/>
          <w:szCs w:val="30"/>
          <w:highlight w:val="none"/>
          <w:lang w:val="en-US" w:eastAsia="zh-CN"/>
        </w:rPr>
        <w:t xml:space="preserve">一般公共预算财政拨款收入582,086.60元，占100.00%</w:t>
      </w:r>
      <w:r>
        <w:rPr>
          <w:rFonts w:eastAsia="仿宋_GB2312" w:hint="eastAsia"/>
          <w:sz w:val="30"/>
          <w:szCs w:val="30"/>
          <w:highlight w:val="none"/>
          <w:lang w:val="en-US" w:eastAsia="zh-CN"/>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18" w:name="_Toc21049"/>
      <w:r>
        <w:rPr>
          <w:rFonts w:ascii="黑体" w:eastAsia="黑体" w:hAnsi="黑体" w:cs="方正仿宋_GB2312" w:hint="eastAsia"/>
          <w:bCs w:val="0"/>
          <w:sz w:val="30"/>
          <w:szCs w:val="30"/>
          <w:highlight w:val="none"/>
          <w:u w:val="none"/>
          <w:lang w:val="en-US" w:eastAsia="zh-CN"/>
        </w:rPr>
        <w:t xml:space="preserve">三、支出决算情况说明</w:t>
      </w:r>
      <w:bookmarkEnd w:id="18"/>
    </w:p>
    <w:p>
      <w:pPr>
        <w:divId w:val="0"/>
        <w:spacing w:line="600" w:lineRule="exact"/>
        <w:ind w:firstLine="600" w:firstLineChars="200"/>
        <w:rPr>
          <w:rFonts w:eastAsia="仿宋_GB2312" w:hint="eastAsia"/>
          <w:sz w:val="30"/>
          <w:szCs w:val="30"/>
          <w:highlight w:val="yellow"/>
          <w:lang w:val="en-US" w:eastAsia="zh-CN"/>
        </w:rPr>
      </w:pPr>
      <w:r>
        <w:rPr>
          <w:rFonts w:eastAsia="仿宋_GB2312" w:hint="eastAsia"/>
          <w:sz w:val="30"/>
          <w:szCs w:val="30"/>
          <w:highlight w:val="none"/>
          <w:lang w:val="en-US" w:eastAsia="zh-CN"/>
        </w:rPr>
        <w:t xml:space="preserve">天津一商集团有限公司</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年度本年支出合</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582,086.60</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减少123,045.40元，</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抚恤金支出减少</w:t>
      </w:r>
      <w:r>
        <w:rPr>
          <w:rFonts w:eastAsia="仿宋_GB2312" w:hint="eastAsia"/>
          <w:sz w:val="30"/>
          <w:szCs w:val="30"/>
          <w:highlight w:val="none"/>
          <w:lang w:val="en-US" w:eastAsia="zh-CN"/>
        </w:rPr>
        <w:t xml:space="preserve">。其中：</w:t>
      </w:r>
      <w:r>
        <w:rPr>
          <w:rFonts w:eastAsia="仿宋_GB2312" w:hint="eastAsia"/>
          <w:sz w:val="30"/>
          <w:szCs w:val="30"/>
          <w:highlight w:val="none"/>
        </w:rPr>
        <w:t xml:space="preserve">基本支出164,494.60元，占28.26%；项目支出417,592.00元，占71.74%</w:t>
      </w:r>
      <w:r>
        <w:rPr>
          <w:rFonts w:eastAsia="仿宋_GB2312" w:hint="eastAsia"/>
          <w:sz w:val="30"/>
          <w:szCs w:val="30"/>
          <w:highlight w:val="none"/>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19" w:name="_Toc8231"/>
      <w:r>
        <w:rPr>
          <w:rFonts w:ascii="黑体" w:eastAsia="黑体" w:hAnsi="黑体" w:cs="方正仿宋_GB2312" w:hint="eastAsia"/>
          <w:bCs w:val="0"/>
          <w:sz w:val="30"/>
          <w:szCs w:val="30"/>
          <w:highlight w:val="none"/>
          <w:u w:val="none"/>
          <w:lang w:val="en-US" w:eastAsia="zh-CN"/>
        </w:rPr>
        <w:t xml:space="preserve">四、财政拨款收支决算总体情况说明</w:t>
      </w:r>
      <w:bookmarkEnd w:id="19"/>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天津一商集团有限公司</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年度财政拨款收入、支出决算总</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582,086.60</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年度相比，财政拨款收、支总计</w:t>
      </w:r>
      <w:r>
        <w:rPr>
          <w:rFonts w:eastAsia="仿宋_GB2312" w:hint="eastAsia"/>
          <w:sz w:val="30"/>
          <w:szCs w:val="30"/>
          <w:highlight w:val="none"/>
          <w:lang w:val="en-US" w:eastAsia="zh-CN"/>
        </w:rPr>
        <w:t xml:space="preserve">各</w:t>
      </w:r>
      <w:r>
        <w:rPr>
          <w:rFonts w:eastAsia="仿宋_GB2312" w:hint="eastAsia"/>
          <w:sz w:val="30"/>
          <w:szCs w:val="30"/>
          <w:highlight w:val="none"/>
          <w:lang w:val="en-US" w:eastAsia="zh-CN"/>
        </w:rPr>
        <w:t xml:space="preserve">减少123,045.40元，下降17.45%，</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抚恤金支出减少</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收入包括：</w:t>
      </w:r>
      <w:r>
        <w:rPr>
          <w:rFonts w:eastAsia="仿宋_GB2312" w:hint="eastAsia"/>
          <w:sz w:val="30"/>
          <w:szCs w:val="30"/>
          <w:highlight w:val="none"/>
          <w:lang w:val="en-US" w:eastAsia="zh-CN"/>
        </w:rPr>
        <w:t xml:space="preserve">一般公共预算财政拨款582,086.60元</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支出包括：</w:t>
      </w:r>
      <w:r>
        <w:rPr>
          <w:rFonts w:eastAsia="仿宋_GB2312" w:hint="eastAsia"/>
          <w:sz w:val="30"/>
          <w:szCs w:val="30"/>
          <w:highlight w:val="none"/>
          <w:lang w:val="en-US" w:eastAsia="zh-CN"/>
        </w:rPr>
        <w:t xml:space="preserve">社会保障和就业支出582,086.60元</w:t>
      </w:r>
      <w:r>
        <w:rPr>
          <w:rFonts w:eastAsia="仿宋_GB2312" w:hint="eastAsia"/>
          <w:sz w:val="30"/>
          <w:szCs w:val="30"/>
          <w:highlight w:val="none"/>
          <w:lang w:val="en-US" w:eastAsia="zh-CN"/>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20" w:name="_Toc24201"/>
      <w:r>
        <w:rPr>
          <w:rFonts w:ascii="黑体" w:eastAsia="黑体" w:hAnsi="黑体" w:cs="方正仿宋_GB2312" w:hint="eastAsia"/>
          <w:bCs w:val="0"/>
          <w:sz w:val="30"/>
          <w:szCs w:val="30"/>
          <w:highlight w:val="none"/>
          <w:u w:val="none"/>
          <w:lang w:val="en-US" w:eastAsia="zh-CN"/>
        </w:rPr>
        <w:t xml:space="preserve">五、一般公共预算财政拨款支出决算情况说明</w:t>
      </w:r>
      <w:bookmarkEnd w:id="20"/>
    </w:p>
    <w:p>
      <w:pPr>
        <w:divId w:val="0"/>
        <w:spacing w:line="600" w:lineRule="exact"/>
        <w:ind w:left="480" w:leftChars="200"/>
        <w:rPr>
          <w:rFonts w:ascii="楷体" w:eastAsia="楷体" w:hAnsi="楷体" w:cs="方正仿宋_GB2312" w:hint="eastAsia"/>
          <w:b/>
          <w:sz w:val="30"/>
          <w:szCs w:val="30"/>
          <w:highlight w:val="none"/>
        </w:rPr>
      </w:pPr>
      <w:r>
        <w:rPr>
          <w:rFonts w:ascii="楷体" w:eastAsia="楷体" w:hAnsi="楷体" w:cs="方正仿宋_GB2312" w:hint="eastAsia"/>
          <w:b/>
          <w:sz w:val="30"/>
          <w:szCs w:val="30"/>
          <w:lang w:val="en-US" w:eastAsia="zh-CN"/>
        </w:rPr>
        <w:t xml:space="preserve">（一）总体情况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天津一商集团有限公司2025年度一般公共预算财政拨款支出合计582,086.60元，占本年支出合计的100.00%。与2024年度相比，一般公共预算财政拨款支出</w:t>
      </w:r>
      <w:r>
        <w:rPr>
          <w:rFonts w:eastAsia="仿宋_GB2312" w:hint="eastAsia"/>
          <w:sz w:val="30"/>
          <w:szCs w:val="30"/>
          <w:highlight w:val="none"/>
          <w:lang w:val="en-US" w:eastAsia="zh-CN"/>
        </w:rPr>
        <w:t xml:space="preserve">减少123,045.40元</w:t>
      </w:r>
      <w:r>
        <w:rPr>
          <w:rFonts w:eastAsia="仿宋_GB2312" w:hint="eastAsia"/>
          <w:sz w:val="30"/>
          <w:szCs w:val="30"/>
          <w:highlight w:val="none"/>
          <w:lang w:val="en-US" w:eastAsia="zh-CN"/>
        </w:rPr>
        <w:t xml:space="preserve">，下降17.45%</w:t>
      </w:r>
      <w:r>
        <w:rPr>
          <w:rFonts w:eastAsia="仿宋_GB2312" w:hint="eastAsia"/>
          <w:sz w:val="30"/>
          <w:szCs w:val="30"/>
          <w:highlight w:val="none"/>
          <w:lang w:val="en-US" w:eastAsia="zh-CN"/>
        </w:rPr>
        <w:t xml:space="preserve">，主要原因是抚恤金支出减少。</w:t>
      </w:r>
    </w:p>
    <w:p>
      <w:pPr>
        <w:divId w:val="0"/>
        <w:spacing w:line="600" w:lineRule="exact"/>
        <w:ind w:firstLine="600" w:firstLineChars="200"/>
        <w:rPr>
          <w:rFonts w:ascii="楷体" w:eastAsia="楷体" w:hAnsi="楷体" w:cs="方正仿宋_GB2312" w:hint="eastAsia"/>
          <w:b/>
          <w:sz w:val="30"/>
          <w:szCs w:val="30"/>
          <w:highlight w:val="none"/>
          <w:lang w:val="en-US" w:eastAsia="zh-CN"/>
        </w:rPr>
      </w:pPr>
      <w:r>
        <w:rPr>
          <w:rFonts w:ascii="楷体" w:eastAsia="楷体" w:hAnsi="楷体" w:cs="方正仿宋_GB2312" w:hint="eastAsia"/>
          <w:b/>
          <w:sz w:val="30"/>
          <w:szCs w:val="30"/>
          <w:lang w:val="en-US" w:eastAsia="zh-CN"/>
        </w:rPr>
        <w:t xml:space="preserve">（二）支出结构情况</w:t>
      </w:r>
    </w:p>
    <w:p>
      <w:pPr>
        <w:divId w:val="0"/>
        <w:spacing w:line="600" w:lineRule="exact"/>
        <w:ind w:firstLine="600" w:firstLineChars="200"/>
        <w:rPr>
          <w:rFonts w:eastAsia="仿宋_GB2312"/>
          <w:sz w:val="30"/>
          <w:szCs w:val="30"/>
          <w:highlight w:val="none"/>
        </w:rPr>
      </w:pPr>
      <w:r>
        <w:rPr>
          <w:rFonts w:eastAsia="仿宋_GB2312" w:hint="eastAsia"/>
          <w:sz w:val="30"/>
          <w:szCs w:val="30"/>
          <w:highlight w:val="none"/>
          <w:lang w:val="en-US" w:eastAsia="zh-CN"/>
        </w:rPr>
        <w:t xml:space="preserve">2025年度一般公共预算财政拨款支出582,086.60元，主要用于以下方面：</w:t>
      </w:r>
      <w:r>
        <w:rPr>
          <w:rFonts w:eastAsia="仿宋_GB2312" w:hint="eastAsia"/>
          <w:sz w:val="30"/>
          <w:szCs w:val="30"/>
          <w:highlight w:val="none"/>
        </w:rPr>
        <w:t xml:space="preserve">社会保障和就业支出（类）支出582,086.60元，占100.00%</w:t>
      </w:r>
      <w:r>
        <w:rPr>
          <w:rFonts w:eastAsia="仿宋_GB2312" w:hint="eastAsia"/>
          <w:sz w:val="30"/>
          <w:szCs w:val="30"/>
          <w:highlight w:val="none"/>
        </w:rPr>
        <w:t xml:space="preserve">。</w:t>
      </w:r>
    </w:p>
    <w:p>
      <w:pPr>
        <w:divId w:val="0"/>
        <w:spacing w:line="600" w:lineRule="exact"/>
        <w:ind w:firstLine="600" w:firstLineChars="200"/>
        <w:rPr>
          <w:rFonts w:ascii="楷体" w:eastAsia="楷体" w:hAnsi="楷体" w:cs="方正仿宋_GB2312" w:hint="eastAsia"/>
          <w:b/>
          <w:sz w:val="30"/>
          <w:szCs w:val="30"/>
          <w:highlight w:val="none"/>
        </w:rPr>
      </w:pPr>
      <w:r>
        <w:rPr>
          <w:rFonts w:ascii="楷体" w:eastAsia="楷体" w:hAnsi="楷体" w:cs="方正仿宋_GB2312" w:hint="eastAsia"/>
          <w:b/>
          <w:sz w:val="30"/>
          <w:szCs w:val="30"/>
          <w:lang w:val="en-US" w:eastAsia="zh-CN"/>
        </w:rPr>
        <w:t xml:space="preserve">（三）具体情况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2025年度一般公共预算财政拨款支出年初预算为179,000.00元，支出决算为582,086.60元</w:t>
      </w:r>
      <w:r>
        <w:rPr>
          <w:rFonts w:eastAsia="仿宋_GB2312" w:hint="eastAsia"/>
          <w:sz w:val="30"/>
          <w:szCs w:val="30"/>
          <w:highlight w:val="none"/>
          <w:lang w:val="en-US" w:eastAsia="zh-CN"/>
        </w:rPr>
        <w:t xml:space="preserve">，完成年初预算的325.19%</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社会保障和就业支出（类）行政事业单位养老支出（款）行政单位离退休（项）年初预算为179,000.00元，支出决算为164,494.60元，完成年初预算的91.90%，决算数小于年初预算数的主要原因是：人员去世，对应经费支出减少。</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2.社会保障和就业支出（类）其他社会保障和就业支出（款）其他社会保障和就业支出（项）年初预算为0.00元，支出决算为417,592.00元，决算数大于年初预算数的主要原因是：年中追加抚恤金项目预算。</w:t>
      </w:r>
    </w:p>
    <w:p>
      <w:pPr>
        <w:pStyle w:val="标题2"/>
        <w:spacing w:before="0" w:after="0" w:line="600" w:lineRule="exact"/>
        <w:ind w:firstLine="600" w:firstLineChars="200"/>
        <w:rPr>
          <w:rFonts w:ascii="黑体" w:eastAsia="黑体" w:hAnsi="黑体"/>
          <w:b w:val="0"/>
          <w:sz w:val="30"/>
          <w:szCs w:val="30"/>
          <w:highlight w:val="none"/>
        </w:rPr>
      </w:pPr>
      <w:bookmarkStart w:id="21" w:name="_Toc17234"/>
      <w:r>
        <w:rPr>
          <w:rFonts w:ascii="黑体" w:eastAsia="黑体" w:hAnsi="黑体" w:cs="方正仿宋_GB2312" w:hint="eastAsia"/>
          <w:bCs w:val="0"/>
          <w:sz w:val="30"/>
          <w:szCs w:val="30"/>
          <w:highlight w:val="none"/>
          <w:u w:val="none"/>
          <w:lang w:val="en-US" w:eastAsia="zh-CN"/>
        </w:rPr>
        <w:t xml:space="preserve">六、一般公共预算财政拨款基本支出决算情况说明</w:t>
      </w:r>
      <w:bookmarkEnd w:id="21"/>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天津一商集团有限公司2025年度一般公共预算财政拨款基本支出合计164,494.60元，与2024年度相比</w:t>
      </w:r>
      <w:r>
        <w:rPr>
          <w:rFonts w:eastAsia="仿宋_GB2312" w:hint="eastAsia"/>
          <w:sz w:val="30"/>
          <w:szCs w:val="30"/>
          <w:highlight w:val="none"/>
          <w:lang w:val="en-US" w:eastAsia="zh-CN"/>
        </w:rPr>
        <w:t xml:space="preserve">减少17,031.40元，</w:t>
      </w:r>
      <w:r>
        <w:rPr>
          <w:rFonts w:eastAsia="仿宋_GB2312" w:hint="eastAsia"/>
          <w:sz w:val="30"/>
          <w:szCs w:val="30"/>
          <w:highlight w:val="none"/>
          <w:lang w:val="en-US" w:eastAsia="zh-CN"/>
        </w:rPr>
        <w:t xml:space="preserve">主要原因是人员去世，人员经费减少。</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人员经费164,494.60元，主要包括</w:t>
      </w:r>
      <w:r>
        <w:rPr>
          <w:rFonts w:eastAsia="仿宋_GB2312" w:hint="eastAsia"/>
          <w:sz w:val="30"/>
          <w:szCs w:val="30"/>
          <w:highlight w:val="none"/>
          <w:lang w:val="en-US" w:eastAsia="zh-CN"/>
        </w:rPr>
        <w:t xml:space="preserve">退休费</w:t>
      </w:r>
      <w:r>
        <w:rPr>
          <w:rFonts w:eastAsia="仿宋_GB2312" w:hint="eastAsia"/>
          <w:sz w:val="30"/>
          <w:szCs w:val="30"/>
          <w:highlight w:val="none"/>
          <w:lang w:val="en-US" w:eastAsia="zh-CN"/>
        </w:rPr>
        <w:t xml:space="preserve">。</w:t>
      </w:r>
    </w:p>
    <w:p>
      <w:pPr>
        <w:pStyle w:val="标题2"/>
        <w:spacing w:before="0" w:after="0" w:line="600" w:lineRule="exact"/>
        <w:ind w:firstLine="600" w:firstLineChars="200"/>
        <w:rPr>
          <w:rFonts w:ascii="楷体" w:eastAsia="楷体" w:hAnsi="楷体" w:cs="方正仿宋_GB2312" w:hint="eastAsia"/>
          <w:b w:val="0"/>
          <w:sz w:val="30"/>
          <w:szCs w:val="30"/>
          <w:highlight w:val="none"/>
        </w:rPr>
      </w:pPr>
      <w:bookmarkStart w:id="22" w:name="_Toc11228"/>
      <w:r>
        <w:rPr>
          <w:rFonts w:ascii="黑体" w:eastAsia="黑体" w:hAnsi="黑体" w:cs="方正仿宋_GB2312" w:hint="eastAsia"/>
          <w:bCs w:val="0"/>
          <w:sz w:val="30"/>
          <w:szCs w:val="30"/>
          <w:highlight w:val="none"/>
          <w:u w:val="none"/>
          <w:lang w:val="en-US" w:eastAsia="zh-CN"/>
        </w:rPr>
        <w:t xml:space="preserve">七、政府性基金预算财政拨款收支决算情况说明</w:t>
      </w:r>
      <w:bookmarkEnd w:id="22"/>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天津一商集团有限公司2025年度无政府性基金预算财政拨款收入、支出和结转结余。</w:t>
      </w:r>
    </w:p>
    <w:p>
      <w:pPr>
        <w:pStyle w:val="标题2"/>
        <w:spacing w:before="0" w:after="0" w:line="600" w:lineRule="exact"/>
        <w:ind w:firstLine="600" w:firstLineChars="200"/>
        <w:rPr>
          <w:rFonts w:eastAsia="黑体" w:hint="eastAsia"/>
          <w:b w:val="0"/>
          <w:sz w:val="30"/>
          <w:szCs w:val="30"/>
          <w:highlight w:val="none"/>
        </w:rPr>
      </w:pPr>
      <w:bookmarkStart w:id="23" w:name="_Toc2429"/>
      <w:r>
        <w:rPr>
          <w:rFonts w:ascii="黑体" w:eastAsia="黑体" w:hAnsi="黑体" w:cs="方正仿宋_GB2312" w:hint="eastAsia"/>
          <w:bCs w:val="0"/>
          <w:sz w:val="30"/>
          <w:szCs w:val="30"/>
          <w:highlight w:val="none"/>
          <w:u w:val="none"/>
          <w:lang w:val="en-US" w:eastAsia="zh-CN"/>
        </w:rPr>
        <w:t xml:space="preserve">八、国有资本经营预算财政拨款收支决算情况说明</w:t>
      </w:r>
      <w:bookmarkEnd w:id="23"/>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天津一商集团有限公司2025年度无国有资本经营预算财政拨款收入、支出和结转结余。</w:t>
      </w:r>
    </w:p>
    <w:p>
      <w:pPr>
        <w:pStyle w:val="标题2"/>
        <w:spacing w:before="0" w:after="0" w:line="600" w:lineRule="exact"/>
        <w:ind w:firstLine="600" w:firstLineChars="200"/>
        <w:rPr>
          <w:rFonts w:ascii="黑体" w:eastAsia="黑体" w:hAnsi="黑体"/>
          <w:b w:val="0"/>
          <w:sz w:val="30"/>
          <w:szCs w:val="30"/>
          <w:highlight w:val="none"/>
        </w:rPr>
      </w:pPr>
      <w:bookmarkStart w:id="24" w:name="_Toc22288"/>
      <w:r>
        <w:rPr>
          <w:rFonts w:ascii="黑体" w:eastAsia="黑体" w:hAnsi="黑体" w:cs="方正仿宋_GB2312" w:hint="eastAsia"/>
          <w:bCs w:val="0"/>
          <w:sz w:val="30"/>
          <w:szCs w:val="30"/>
          <w:highlight w:val="none"/>
          <w:u w:val="none"/>
          <w:lang w:val="en-US" w:eastAsia="zh-CN"/>
        </w:rPr>
        <w:t xml:space="preserve">九、财政拨款“三公”经费支出决算情况说明</w:t>
      </w:r>
      <w:bookmarkEnd w:id="24"/>
    </w:p>
    <w:p>
      <w:pPr>
        <w:divId w:val="0"/>
        <w:spacing w:line="600" w:lineRule="exact"/>
        <w:ind w:firstLine="600" w:firstLineChars="200"/>
        <w:rPr>
          <w:rFonts w:ascii="楷体" w:eastAsia="楷体" w:hAnsi="楷体" w:cs="楷体" w:hint="eastAsia"/>
          <w:b/>
          <w:bCs/>
          <w:sz w:val="30"/>
          <w:szCs w:val="30"/>
          <w:highlight w:val="none"/>
          <w:lang w:eastAsia="zh-CN"/>
        </w:rPr>
      </w:pPr>
      <w:r>
        <w:rPr>
          <w:rFonts w:ascii="楷体" w:eastAsia="楷体" w:hAnsi="楷体" w:cs="楷体" w:hint="eastAsia"/>
          <w:b/>
          <w:bCs/>
          <w:sz w:val="30"/>
          <w:szCs w:val="30"/>
          <w:highlight w:val="none"/>
          <w:lang w:eastAsia="zh-CN"/>
        </w:rPr>
        <w:t xml:space="preserve">（一）总体情况</w:t>
      </w:r>
    </w:p>
    <w:p>
      <w:pPr>
        <w:divId w:val="0"/>
        <w:spacing w:line="600" w:lineRule="exact"/>
        <w:ind w:firstLine="600"/>
        <w:rPr>
          <w:rFonts w:eastAsia="仿宋_GB2312" w:hint="default"/>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年财政拨</w:t>
      </w:r>
      <w:r>
        <w:rPr>
          <w:rFonts w:eastAsia="仿宋_GB2312" w:hint="eastAsia"/>
          <w:sz w:val="30"/>
          <w:szCs w:val="30"/>
          <w:highlight w:val="none"/>
          <w:lang w:val="en-US" w:eastAsia="zh-CN"/>
        </w:rPr>
        <w:t xml:space="preserve">款</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三</w:t>
      </w:r>
      <w:r>
        <w:rPr>
          <w:rFonts w:eastAsia="仿宋_GB2312" w:hint="eastAsia"/>
          <w:sz w:val="30"/>
          <w:szCs w:val="30"/>
          <w:highlight w:val="none"/>
          <w:lang w:val="en-US" w:eastAsia="zh-CN"/>
        </w:rPr>
        <w:t xml:space="preserve">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经费预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决算数与预算数持平的主要原因是本年度未用财政拨款经费列支“三公”经费；</w:t>
      </w:r>
      <w:r>
        <w:rPr>
          <w:rFonts w:eastAsia="仿宋_GB2312" w:hint="eastAsia"/>
          <w:sz w:val="30"/>
          <w:szCs w:val="30"/>
          <w:highlight w:val="none"/>
          <w:lang w:val="en-US" w:eastAsia="zh-CN"/>
        </w:rPr>
        <w:t xml:space="preserve">决算数较上年持平的主要原因是本年度未用财政拨款经费列支“三公”经费。</w:t>
      </w:r>
    </w:p>
    <w:p>
      <w:pPr>
        <w:divId w:val="0"/>
        <w:spacing w:line="600" w:lineRule="exact"/>
        <w:ind w:firstLine="600" w:firstLineChars="200"/>
        <w:rPr>
          <w:rFonts w:ascii="楷体" w:eastAsia="楷体" w:hAnsi="楷体" w:cs="楷体" w:hint="eastAsia"/>
          <w:b/>
          <w:bCs/>
          <w:sz w:val="30"/>
          <w:szCs w:val="30"/>
          <w:highlight w:val="none"/>
          <w:lang w:eastAsia="zh-CN"/>
        </w:rPr>
      </w:pPr>
      <w:r>
        <w:rPr>
          <w:rFonts w:ascii="楷体" w:eastAsia="楷体" w:hAnsi="楷体" w:cs="楷体" w:hint="eastAsia"/>
          <w:b/>
          <w:bCs/>
          <w:sz w:val="30"/>
          <w:szCs w:val="30"/>
          <w:highlight w:val="none"/>
          <w:lang w:eastAsia="zh-CN"/>
        </w:rPr>
        <w:t xml:space="preserve">（二）具体情况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因公出国（境）费预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决算数与预算数持平的主要原因是本年度未用财政拨款经费列支因公出国（境）费；</w:t>
      </w:r>
      <w:r>
        <w:rPr>
          <w:rFonts w:eastAsia="仿宋_GB2312" w:hint="eastAsia"/>
          <w:sz w:val="30"/>
          <w:szCs w:val="30"/>
          <w:highlight w:val="none"/>
          <w:lang w:val="en-US" w:eastAsia="zh-CN"/>
        </w:rPr>
        <w:t xml:space="preserve">决算数较上年持平的主要原因是本年度未用财政拨款经费列支因公出国（境）费。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年本单位组织的出国团</w:t>
      </w:r>
      <w:r>
        <w:rPr>
          <w:rFonts w:eastAsia="仿宋_GB2312" w:hint="eastAsia"/>
          <w:sz w:val="30"/>
          <w:szCs w:val="30"/>
          <w:highlight w:val="none"/>
          <w:lang w:val="en-US" w:eastAsia="zh-CN"/>
        </w:rPr>
        <w:t xml:space="preserve">组</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个，出</w:t>
      </w:r>
      <w:r>
        <w:rPr>
          <w:rFonts w:eastAsia="仿宋_GB2312" w:hint="eastAsia"/>
          <w:sz w:val="30"/>
          <w:szCs w:val="30"/>
          <w:highlight w:val="none"/>
          <w:lang w:val="en-US" w:eastAsia="zh-CN"/>
        </w:rPr>
        <w:t xml:space="preserve">国</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人次。</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公务用车购置及运行维护费预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决算数与预算数持平的主要原因是本年度未用财政拨款经费列支公务用车购置及运行维护费；</w:t>
      </w:r>
      <w:r>
        <w:rPr>
          <w:rFonts w:eastAsia="仿宋_GB2312" w:hint="eastAsia"/>
          <w:sz w:val="30"/>
          <w:szCs w:val="30"/>
          <w:highlight w:val="none"/>
          <w:lang w:val="en-US" w:eastAsia="zh-CN"/>
        </w:rPr>
        <w:t xml:space="preserve">决算数较上年持平的主要原因是本年度未用财政拨款经费列支公务用车购置及运行维护费。</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公务用车运行维护费预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决算数与预算数持平的主要原因是本年度未用财政拨款经费列支公务用车运行维护费；</w:t>
      </w:r>
      <w:r>
        <w:rPr>
          <w:rFonts w:eastAsia="仿宋_GB2312" w:hint="eastAsia"/>
          <w:sz w:val="30"/>
          <w:szCs w:val="30"/>
          <w:highlight w:val="none"/>
          <w:lang w:val="en-US" w:eastAsia="zh-CN"/>
        </w:rPr>
        <w:t xml:space="preserve">决算数较上年持平的主要原因是本年度未用财政拨款经费列支公务用车运行维护费。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截</w:t>
      </w:r>
      <w:r>
        <w:rPr>
          <w:rFonts w:eastAsia="仿宋_GB2312" w:hint="eastAsia"/>
          <w:sz w:val="30"/>
          <w:szCs w:val="30"/>
          <w:highlight w:val="none"/>
          <w:lang w:val="en-US" w:eastAsia="zh-CN"/>
        </w:rPr>
        <w:t xml:space="preserve">至</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w:t>
      </w: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月</w:t>
      </w: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日，使用财政拨款开支运行维护费的公务用车保有量</w:t>
      </w:r>
      <w:r>
        <w:rPr>
          <w:rFonts w:eastAsia="仿宋_GB2312" w:hint="eastAsia"/>
          <w:sz w:val="30"/>
          <w:szCs w:val="30"/>
          <w:highlight w:val="none"/>
          <w:lang w:val="en-US" w:eastAsia="zh-CN"/>
        </w:rPr>
        <w:t xml:space="preserve">为</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辆</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公务用车购置费预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决算数与预算数持平的主要原因是本年度未用财政拨款经费列支公务用车购置费；</w:t>
      </w:r>
      <w:r>
        <w:rPr>
          <w:rFonts w:eastAsia="仿宋_GB2312" w:hint="eastAsia"/>
          <w:sz w:val="30"/>
          <w:szCs w:val="30"/>
          <w:highlight w:val="none"/>
          <w:lang w:val="en-US" w:eastAsia="zh-CN"/>
        </w:rPr>
        <w:t xml:space="preserve">决算数较上年持平的主要原因是本年度未用财政拨款经费列支公务用车购置费。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年购置公务用</w:t>
      </w:r>
      <w:r>
        <w:rPr>
          <w:rFonts w:eastAsia="仿宋_GB2312" w:hint="eastAsia"/>
          <w:sz w:val="30"/>
          <w:szCs w:val="30"/>
          <w:highlight w:val="none"/>
          <w:lang w:val="en-US" w:eastAsia="zh-CN"/>
        </w:rPr>
        <w:t xml:space="preserve">车</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辆。</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公务接待费预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决算数与预算数持平的主要原因是本年度未用财政拨款经费列支公务接待费；</w:t>
      </w:r>
      <w:r>
        <w:rPr>
          <w:rFonts w:eastAsia="仿宋_GB2312" w:hint="eastAsia"/>
          <w:sz w:val="30"/>
          <w:szCs w:val="30"/>
          <w:highlight w:val="none"/>
          <w:lang w:val="en-US" w:eastAsia="zh-CN"/>
        </w:rPr>
        <w:t xml:space="preserve">决算数较上年持平的主要原因是本年度未用财政拨款经费列支公务接待费。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年本单位国内公务接</w:t>
      </w:r>
      <w:r>
        <w:rPr>
          <w:rFonts w:eastAsia="仿宋_GB2312" w:hint="eastAsia"/>
          <w:sz w:val="30"/>
          <w:szCs w:val="30"/>
          <w:highlight w:val="none"/>
          <w:lang w:val="en-US" w:eastAsia="zh-CN"/>
        </w:rPr>
        <w:t xml:space="preserve">待</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批次</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人次；其中，外事接</w:t>
      </w:r>
      <w:r>
        <w:rPr>
          <w:rFonts w:eastAsia="仿宋_GB2312" w:hint="eastAsia"/>
          <w:sz w:val="30"/>
          <w:szCs w:val="30"/>
          <w:highlight w:val="none"/>
          <w:lang w:val="en-US" w:eastAsia="zh-CN"/>
        </w:rPr>
        <w:t xml:space="preserve">待</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批次</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人次。</w:t>
      </w:r>
    </w:p>
    <w:p>
      <w:pPr>
        <w:pStyle w:val="标题2"/>
        <w:spacing w:before="0" w:after="0" w:line="600" w:lineRule="exact"/>
        <w:ind w:firstLine="600" w:firstLineChars="200"/>
        <w:rPr>
          <w:rFonts w:ascii="黑体" w:eastAsia="黑体" w:hAnsi="黑体"/>
          <w:b w:val="0"/>
          <w:sz w:val="30"/>
          <w:szCs w:val="30"/>
          <w:highlight w:val="none"/>
        </w:rPr>
      </w:pPr>
      <w:bookmarkStart w:id="25" w:name="_Toc30303"/>
      <w:r>
        <w:rPr>
          <w:rFonts w:ascii="黑体" w:eastAsia="黑体" w:hAnsi="黑体" w:cs="方正仿宋_GB2312" w:hint="eastAsia"/>
          <w:bCs w:val="0"/>
          <w:sz w:val="30"/>
          <w:szCs w:val="30"/>
          <w:highlight w:val="none"/>
          <w:u w:val="none"/>
          <w:lang w:val="en-US" w:eastAsia="zh-CN"/>
        </w:rPr>
        <w:t xml:space="preserve">十、机关运行经费支出情况说明</w:t>
      </w:r>
      <w:bookmarkEnd w:id="25"/>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天津一商集团有限公司2025年度无机关运行经费。</w:t>
      </w:r>
    </w:p>
    <w:p>
      <w:pPr>
        <w:pStyle w:val="标题2"/>
        <w:spacing w:before="0" w:after="0" w:line="600" w:lineRule="exact"/>
        <w:ind w:firstLine="600" w:firstLineChars="200"/>
        <w:rPr>
          <w:rFonts w:ascii="黑体" w:eastAsia="黑体" w:hAnsi="黑体" w:cs="方正仿宋_GB2312" w:hint="eastAsia"/>
          <w:bCs w:val="0"/>
          <w:sz w:val="30"/>
          <w:szCs w:val="30"/>
          <w:highlight w:val="none"/>
          <w:u w:val="none"/>
          <w:lang w:val="en-US" w:eastAsia="zh-CN"/>
        </w:rPr>
      </w:pPr>
      <w:bookmarkStart w:id="26" w:name="_Toc3597"/>
      <w:r>
        <w:rPr>
          <w:rFonts w:ascii="黑体" w:eastAsia="黑体" w:hAnsi="黑体" w:cs="方正仿宋_GB2312" w:hint="eastAsia"/>
          <w:bCs w:val="0"/>
          <w:sz w:val="30"/>
          <w:szCs w:val="30"/>
          <w:highlight w:val="none"/>
          <w:u w:val="none"/>
          <w:lang w:val="en-US" w:eastAsia="zh-CN"/>
        </w:rPr>
        <w:t xml:space="preserve">十一、政府采购支出情况说明</w:t>
      </w:r>
      <w:bookmarkEnd w:id="26"/>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天津一商集团有限公司2025年度无政府采购支出。</w:t>
      </w:r>
    </w:p>
    <w:p>
      <w:pPr>
        <w:pStyle w:val="标题2"/>
        <w:spacing w:before="0" w:after="0" w:line="600" w:lineRule="exact"/>
        <w:ind w:firstLine="600" w:firstLineChars="200"/>
        <w:rPr>
          <w:rFonts w:ascii="黑体" w:eastAsia="黑体" w:hAnsi="黑体" w:hint="eastAsia"/>
          <w:b w:val="0"/>
          <w:sz w:val="30"/>
          <w:szCs w:val="30"/>
          <w:highlight w:val="none"/>
        </w:rPr>
      </w:pPr>
      <w:bookmarkStart w:id="27" w:name="_Toc32039"/>
      <w:r>
        <w:rPr>
          <w:rFonts w:ascii="黑体" w:eastAsia="黑体" w:hAnsi="黑体" w:cs="方正仿宋_GB2312" w:hint="eastAsia"/>
          <w:bCs w:val="0"/>
          <w:sz w:val="30"/>
          <w:szCs w:val="30"/>
          <w:highlight w:val="none"/>
          <w:u w:val="none"/>
          <w:lang w:val="en-US" w:eastAsia="zh-CN"/>
        </w:rPr>
        <w:t xml:space="preserve">十二、国有资产占有使用情况说明</w:t>
      </w:r>
      <w:bookmarkEnd w:id="27"/>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天津一商集团有限公司2025年度无国有资产占有使用情况。</w:t>
      </w:r>
    </w:p>
    <w:p>
      <w:pPr>
        <w:pStyle w:val="标题2"/>
        <w:spacing w:before="0" w:after="0" w:line="600" w:lineRule="exact"/>
        <w:ind w:firstLine="600" w:firstLineChars="200"/>
        <w:rPr>
          <w:rFonts w:ascii="黑体" w:eastAsia="黑体" w:hAnsi="黑体" w:cs="方正仿宋_GB2312" w:hint="eastAsia"/>
          <w:b/>
          <w:bCs w:val="0"/>
          <w:sz w:val="30"/>
          <w:szCs w:val="30"/>
          <w:highlight w:val="none"/>
          <w:u w:val="none"/>
          <w:lang w:val="en-US" w:eastAsia="zh-CN"/>
        </w:rPr>
      </w:pPr>
      <w:bookmarkStart w:id="28" w:name="_Toc2201"/>
      <w:r>
        <w:rPr>
          <w:rFonts w:ascii="黑体" w:eastAsia="黑体" w:hAnsi="黑体" w:cs="方正仿宋_GB2312" w:hint="eastAsia"/>
          <w:b/>
          <w:bCs w:val="0"/>
          <w:sz w:val="30"/>
          <w:szCs w:val="30"/>
          <w:highlight w:val="none"/>
          <w:u w:val="none"/>
          <w:lang w:val="en-US" w:eastAsia="zh-CN"/>
        </w:rPr>
        <w:t xml:space="preserve">十三、预算绩效情况说明</w:t>
      </w:r>
      <w:bookmarkEnd w:id="28"/>
    </w:p>
    <w:p>
      <w:pPr>
        <w:divId w:val="0"/>
        <w:spacing w:line="600" w:lineRule="exact"/>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    应公开项目支出绩效自评结果的，作下述说明：根据预算绩效管理要求，天津一商集团有限公司已对2个2025年度市级项目开展绩效自评，涉及金额417592元，自评结果已随部门决算一并公开。</w:t>
      </w:r>
    </w:p>
    <w:p>
      <w:pPr>
        <w:divId w:val="0"/>
        <w:spacing w:line="600" w:lineRule="exact"/>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    本部门2025年度未开展部门评价。</w:t>
      </w:r>
    </w:p>
    <w:p>
      <w:pPr>
        <w:pStyle w:val="标题2"/>
        <w:spacing w:before="0" w:after="0" w:line="600" w:lineRule="exact"/>
        <w:ind w:firstLine="600" w:firstLineChars="200"/>
        <w:rPr>
          <w:rFonts w:ascii="Times New Roman" w:eastAsia="黑体" w:hAnsi="Times New Roman"/>
          <w:b w:val="0"/>
          <w:sz w:val="30"/>
          <w:szCs w:val="30"/>
          <w:highlight w:val="none"/>
        </w:rPr>
      </w:pPr>
      <w:bookmarkStart w:id="29" w:name="_Toc10864"/>
      <w:r>
        <w:rPr>
          <w:rFonts w:ascii="黑体" w:eastAsia="黑体" w:hAnsi="黑体" w:cs="方正仿宋_GB2312" w:hint="eastAsia"/>
          <w:bCs w:val="0"/>
          <w:sz w:val="30"/>
          <w:szCs w:val="30"/>
          <w:highlight w:val="none"/>
          <w:u w:val="none"/>
          <w:lang w:val="en-US" w:eastAsia="zh-CN"/>
        </w:rPr>
        <w:t xml:space="preserve">十四、教育、医疗卫生、社会保障和就业、住房保障、涉农补贴等民生支出情况说明</w:t>
      </w:r>
      <w:bookmarkEnd w:id="29"/>
    </w:p>
    <w:p>
      <w:pPr>
        <w:divId w:val="0"/>
        <w:spacing w:line="600" w:lineRule="exact"/>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    天津一商集团有限公司不属于乡、镇、街级单位，不涉及公开2025年度教育、医疗卫生、社会保障和就业、住房保障、涉农补贴等民生支出情况。</w:t>
      </w:r>
    </w:p>
    <w:p>
      <w:pPr>
        <w:pStyle w:val="标题1"/>
        <w:spacing w:before="0" w:after="0" w:line="600" w:lineRule="exact"/>
        <w:jc w:val="center"/>
        <w:rPr>
          <w:rFonts w:ascii="方正小标宋简体" w:eastAsia="方正小标宋简体" w:hAnsi="方正小标宋简体" w:cs="方正小标宋简体" w:hint="eastAsia"/>
          <w:b w:val="0"/>
          <w:sz w:val="48"/>
          <w:szCs w:val="48"/>
          <w:highlight w:val="none"/>
        </w:rPr>
      </w:pPr>
      <w:r>
        <w:rPr>
          <w:rFonts w:ascii="方正小标宋简体" w:eastAsia="方正小标宋简体" w:hAnsi="方正小标宋简体" w:cs="方正小标宋简体" w:hint="eastAsia"/>
          <w:b w:val="0"/>
          <w:sz w:val="48"/>
          <w:szCs w:val="48"/>
          <w:highlight w:val="none"/>
        </w:rPr>
        <w:br w:type="page"/>
      </w:r>
    </w:p>
    <w:p>
      <w:pPr>
        <w:pStyle w:val="标题1"/>
        <w:spacing w:before="0" w:after="0" w:line="600" w:lineRule="exact"/>
        <w:jc w:val="center"/>
        <w:rPr>
          <w:rFonts w:ascii="方正小标宋简体" w:eastAsia="方正小标宋简体" w:hAnsi="方正小标宋简体" w:cs="方正小标宋简体"/>
          <w:b w:val="0"/>
          <w:sz w:val="44"/>
          <w:szCs w:val="44"/>
          <w:highlight w:val="none"/>
        </w:rPr>
      </w:pPr>
      <w:bookmarkStart w:id="30" w:name="_Toc19733"/>
      <w:r>
        <w:rPr>
          <w:rFonts w:ascii="方正小标宋简体" w:eastAsia="方正小标宋简体" w:hAnsi="方正小标宋简体" w:cs="方正小标宋简体" w:hint="eastAsia"/>
          <w:b w:val="0"/>
          <w:lang w:val="en-US" w:eastAsia="zh-CN"/>
        </w:rPr>
        <w:t xml:space="preserve">第四部分  名词解释</w:t>
      </w:r>
      <w:bookmarkEnd w:id="30"/>
    </w:p>
    <w:p>
      <w:pPr>
        <w:pStyle w:val="标题1"/>
        <w:spacing w:before="0" w:after="0" w:line="600" w:lineRule="exact"/>
        <w:jc w:val="center"/>
        <w:rPr>
          <w:rFonts w:ascii="方正小标宋简体" w:eastAsia="方正小标宋简体" w:hAnsi="方正小标宋简体" w:cs="方正小标宋简体" w:hint="eastAsia"/>
          <w:b w:val="0"/>
          <w:sz w:val="44"/>
          <w:szCs w:val="44"/>
          <w:highlight w:val="none"/>
        </w:rPr>
      </w:pP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部门决算。是指各部门依据国家有关法律法规规定及其履行职能情况编制，反映部门所有预算收支和结余执行结果及绩效等情况的综合性年度报告，是改进部门预算执行以及编制后续年度部门预算的参考和依据。</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机关运行经费。反映行政单位（含参照公务员管理事业单位）财政拨款基本支出中的公用经费支出，主要为保障行政单位（含参照公务员管理事业单位）运行用于购买货物和服务的各项资金，包括办公费、印刷费、水费、电费、邮电费、取暖费、物业管理费、差旅费、会议费、公务用车运行维护费以及其他费用。</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三</w:t>
      </w:r>
      <w:r>
        <w:rPr>
          <w:rFonts w:eastAsia="仿宋_GB2312" w:hint="eastAsia"/>
          <w:sz w:val="30"/>
          <w:szCs w:val="30"/>
          <w:highlight w:val="none"/>
          <w:lang w:val="en-US" w:eastAsia="zh-CN"/>
        </w:rPr>
        <w:t xml:space="preserve">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经费。是指各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牌照费）及燃料费、新能源汽车充电费、维修费、过桥过路费、保险费、安全奖励费用等支出；公务接待费反映单位按规定开支的各类公务接待（含外宾接待）支出</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 </w:t>
      </w:r>
    </w:p>
    <w:sectPr>
      <w:footerReference w:type="default" r:id="rId8"/>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default"/>
    <w:sig w:usb0="E0002EFF" w:usb1="C000785B" w:usb2="00000009" w:usb3="00000000" w:csb0="400001FF" w:csb1="FFFF0000"/>
  </w:font>
  <w:font w:name="宋体">
    <w:panose1 w:val="02010600030101010101"/>
    <w:charset w:val="FFFFFF86"/>
    <w:family w:val="auto"/>
    <w:pitch w:val="default"/>
    <w:sig w:usb0="00000203" w:usb1="288F0000" w:usb2="00000006" w:usb3="00000000" w:csb0="00040001" w:csb1="00000000"/>
    <w:embedRegular r:id="rId1" w:subsetted="1" w:fontKey="{79675ECC-44CC-45A5-A9C2-B9F74149F3FD}"/>
    <w:embedBold r:id="rId2" w:subsetted="1" w:fontKey="{587ECAE8-D751-49FC-9333-C3D10D36BE8F}"/>
  </w:font>
  <w:font w:name="Cambria">
    <w:panose1 w:val="02040503050406030204"/>
    <w:charset w:val="00"/>
    <w:family w:val="roman"/>
    <w:pitch w:val="default"/>
    <w:sig w:usb0="E00006FF" w:usb1="420024FF" w:usb2="02000000" w:usb3="00000000" w:csb0="2000019F" w:csb1="00000000"/>
    <w:embedRegular r:id="rId3" w:fontKey="{EBF5DF74-1063-4361-8DDC-F6D437FA39B3}"/>
  </w:font>
  <w:font w:name="Calibri">
    <w:panose1 w:val="020F0502020204030204"/>
    <w:charset w:val="00"/>
    <w:family w:val="swiss"/>
    <w:pitch w:val="default"/>
    <w:sig w:usb0="E4002EFF" w:usb1="C200247B" w:usb2="00000009" w:usb3="00000000" w:csb0="200001FF" w:csb1="00000000"/>
    <w:embedRegular r:id="rId4" w:fontKey="{CFA14EEE-0AF7-4A8E-8058-D604C27C4FA8}"/>
  </w:font>
  <w:font w:name="黑体">
    <w:panose1 w:val="02010609060101010101"/>
    <w:charset w:val="FFFFFF86"/>
    <w:family w:val="auto"/>
    <w:pitch w:val="default"/>
    <w:sig w:usb0="800002BF" w:usb1="38CF7CFA" w:usb2="00000016" w:usb3="00000000" w:csb0="00040001" w:csb1="00000000"/>
    <w:embedRegular r:id="rId5" w:subsetted="1" w:fontKey="{9E8EC044-8B7B-44F3-AE04-8BA2497D5F9E}"/>
    <w:embedBold r:id="rId6" w:subsetted="1" w:fontKey="{D0B54201-0524-4DA5-83B0-2D7BAF6BC140}"/>
  </w:font>
  <w:font w:name="方正小标宋简体">
    <w:altName w:val="黑体"/>
    <w:panose1 w:val="02000000000000000000"/>
    <w:charset w:val="FFFFFF86"/>
    <w:family w:val="auto"/>
    <w:pitch w:val="default"/>
    <w:sig w:usb0="00000001" w:usb1="08000000" w:usb2="00000000" w:usb3="00000000" w:csb0="00040000" w:csb1="00000000"/>
    <w:embedRegular r:id="rId7" w:fontKey="{8F0FE6EA-67BB-45F4-9194-6A78C0EA0DFE}"/>
    <w:embedBold r:id="rId8" w:fontKey="{4BB70DAE-23E1-4E37-B7FA-0EA6E7D7FDD9}"/>
  </w:font>
  <w:font w:name="仿宋">
    <w:panose1 w:val="02010609060101010101"/>
    <w:charset w:val="FFFFFF86"/>
    <w:family w:val="auto"/>
    <w:pitch w:val="default"/>
    <w:sig w:usb0="800002BF" w:usb1="38CF7CFA" w:usb2="00000016" w:usb3="00000000" w:csb0="00040001" w:csb1="00000000"/>
    <w:embedRegular r:id="rId9" w:subsetted="1" w:fontKey="{45D24B57-EAE6-4777-A34D-E3467D8331F5}"/>
  </w:font>
  <w:font w:name="方正仿宋_GB2312">
    <w:altName w:val="仿宋"/>
    <w:panose1 w:val="02000000000000000000"/>
    <w:charset w:val="FFFFFF86"/>
    <w:family w:val="auto"/>
    <w:pitch w:val="default"/>
    <w:sig w:usb0="A00002BF" w:usb1="184F6CFA" w:usb2="00000012" w:usb3="00000000" w:csb0="00040001" w:csb1="00000000"/>
    <w:embedRegular r:id="rId10" w:fontKey="{FCD53C1C-EAB7-4CAC-A1A4-D8866FAB35B6}"/>
  </w:font>
  <w:font w:name="仿宋_GB2312">
    <w:altName w:val="仿宋"/>
    <w:panose1 w:val="02010609030101010101"/>
    <w:charset w:val="FFFFFF86"/>
    <w:family w:val="auto"/>
    <w:pitch w:val="default"/>
    <w:sig w:usb0="00000001" w:usb1="080E0000" w:usb2="00000000" w:usb3="00000000" w:csb0="00040000" w:csb1="00000000"/>
    <w:embedRegular r:id="rId11" w:fontKey="{6C748ED8-8280-42CA-AF36-4E0B5DFAE678}"/>
  </w:font>
  <w:font w:name="方正楷体_GB2312">
    <w:altName w:val="宋体"/>
    <w:panose1 w:val="02000000000000000000"/>
    <w:charset w:val="FFFFFF86"/>
    <w:family w:val="auto"/>
    <w:pitch w:val="default"/>
    <w:sig w:usb0="A00002BF" w:usb1="184F6CFA" w:usb2="00000012" w:usb3="00000000" w:csb0="00040001" w:csb1="00000000"/>
    <w:embedRegular r:id="rId12" w:fontKey="{01262B65-D951-445B-8984-050BAC49C1AC}"/>
  </w:font>
  <w:font w:name="等线">
    <w:panose1 w:val="02010600030101010101"/>
    <w:charset w:val="FFFFFF86"/>
    <w:family w:val="auto"/>
    <w:pitch w:val="default"/>
    <w:sig w:usb0="A00002BF" w:usb1="38CF7CFA" w:usb2="00000016" w:usb3="00000000" w:csb0="0004000F" w:csb1="00000000"/>
  </w:font>
  <w:font w:name="楷体">
    <w:panose1 w:val="02010609060101010101"/>
    <w:charset w:val="FFFFFF86"/>
    <w:family w:val="decorative"/>
    <w:pitch w:val="default"/>
    <w:sig w:usb0="800002BF" w:usb1="38CF7CFA" w:usb2="00000016" w:usb3="00000000" w:csb0="00040001" w:csb1="00000000"/>
    <w:embedRegular r:id="rId13" w:subsetted="1" w:fontKey="{F3286E61-FB9E-41A1-96FE-D645A7B27E77}"/>
    <w:embedBold r:id="rId14" w:subsetted="1" w:fontKey="{61B92290-FCAA-4D4B-B6A6-91A65D3EFF0E}"/>
  </w:font>
  <w:font w:name="Arial">
    <w:charset w:val="00"/>
    <w:family w:val="auto"/>
    <w:pitch w:val="default"/>
  </w:font>
  <w:font w:name="方正仿宋">
    <w:charset w:val="01"/>
    <w:family w:val="auto"/>
    <w:pitch w:val="default"/>
  </w:font>
  <w:font w:name="方正楷体">
    <w:charset w:val="01"/>
    <w:family w:val="auto"/>
    <w:pitch w:val="default"/>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6" o:spid="_x0000_s2049" type="#_x0000_t202" style="width:2in;height:2in;margin-top:0;margin-left:0;mso-position-horizontal:center;mso-position-horizontal-relative:margin;mso-wrap-style:none;position:absolute;z-index:251658240"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3</w:t>
                </w:r>
                <w:r>
                  <w:fldChar w:fldCharType="end"/>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7" o:spid="_x0000_s2050" type="#_x0000_t202" style="width:2in;height:2in;margin-top:0;margin-left:0;mso-position-horizontal:center;mso-position-horizontal-relative:margin;mso-wrap-style:none;position:absolute;z-index:251659264"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6</w:t>
                </w:r>
                <w:r>
                  <w:fldChar w:fldCharType="end"/>
                </w:r>
              </w:p>
            </w:txbxContent>
          </v:textbox>
          <w10:wrap anchorx="margin"/>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8" o:spid="_x0000_s2051" type="#_x0000_t202" style="width:2in;height:2in;margin-top:0;margin-left:0;mso-position-horizontal:center;mso-position-horizontal-relative:margin;mso-wrap-style:none;position:absolute;z-index:251660288"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17</w:t>
                </w:r>
                <w:r>
                  <w:fldChar w:fldCharType="end"/>
                </w:r>
              </w:p>
            </w:txbxContent>
          </v:textbox>
          <w10:wrap anchorx="margin"/>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7" o:spid="_x0000_s2052" type="#_x0000_t202" style="width:2in;height:2in;margin-top:0;margin-left:0;mso-position-horizontal:center;mso-position-horizontal-relative:margin;mso-wrap-style:none;position:absolute;z-index:251661312"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23</w:t>
                </w:r>
                <w:r>
                  <w:fldChar w:fldCharType="end"/>
                </w:r>
              </w:p>
            </w:txbxContent>
          </v:textbox>
          <w10:wrap anchorx="margin"/>
        </v:shape>
      </w:pic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TrueTypeFonts/>
  <w:bordersDoNotSurroundFooter w:val="0"/>
  <w:bordersDoNotSurroundHeader w:val="0"/>
  <w:stylePaneFormatFilter w:val="3F01"/>
  <w:doNotTrackMoves/>
  <w:defaultTabStop w:val="420.0"/>
  <w:drawingGridVerticalSpacing w:val="156"/>
  <w:noPunctuationKerning/>
  <w:characterSpacingControl w:val="compressPunctuation"/>
  <w:noLineBreaksAfter w:lang="en-US" w:val="([{·‘“〈《「『【〔〖（．［｛￡￥"/>
  <w:noLineBreaksBefore w:lang="en-US" w:val="!),.:;?]}¨·ˇˉ―‖’”…∶、。〃々〉》」』】〕〗！＂＇），．：；？］｀｜｝～￠"/>
  <w:endnotePr>
    <w:numFmt w:val="decimal"/>
  </w:endnotePr>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s>
  <w:docVars>
    <w:docVar w:name="commondata" w:val="eyJoZGlkIjoiOTM0ZDdjZmNhMDU3OGRjODI0Y2FhODMxNDQzMzM1NjMifQ=="/>
  </w:docVars>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qFormat="1"/>
    <w:lsdException w:name="header" w:semiHidden="0" w:uiPriority="0"/>
    <w:lsdException w:name="footer" w:semiHidden="0" w:uiPriority="0" w:qFormat="1"/>
    <w:lsdException w:name="caption" w:uiPriority="35" w:qFormat="1"/>
    <w:lsdException w:name="Title" w:semiHidden="0" w:uiPriority="10" w:unhideWhenUsed="0" w:qFormat="1"/>
    <w:lsdException w:name="Default Paragraph Font" w:semiHidden="0" w:uiPriority="0"/>
    <w:lsdException w:name="Body Text Indent" w:semiHidden="0" w:qFormat="1"/>
    <w:lsdException w:name="Subtitle" w:semiHidden="0" w:uiPriority="11" w:unhideWhenUsed="0" w:qFormat="1"/>
    <w:lsdException w:name="Body Text First Indent 2" w:semiHidden="0" w:qFormat="1"/>
    <w:lsdException w:name="Hyperlink" w:semiHidden="0"/>
    <w:lsdException w:name="Strong" w:semiHidden="0" w:uiPriority="22" w:unhideWhenUsed="0" w:qFormat="1"/>
    <w:lsdException w:name="Emphasis" w:semiHidden="0" w:uiPriority="20" w:unhideWhenUsed="0" w:qFormat="1"/>
    <w:lsdException w:name="Normal (Web)" w:semiHidden="0" w:qFormat="1"/>
    <w:lsdException w:name="Normal Table" w:semiHidden="0"/>
    <w:lsdException w:name="Balloon Text" w:semiHidden="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divId w:val="0"/>
      <w:widowControl w:val="0"/>
      <w:adjustRightInd w:val="0"/>
      <w:spacing w:line="360" w:lineRule="atLeast"/>
      <w:textAlignment w:val="baseline"/>
    </w:pPr>
    <w:rPr>
      <w:rFonts w:ascii="Times New Roman" w:eastAsia="宋体" w:hAnsi="Times New Roman" w:cs="Times New Roman"/>
      <w:sz w:val="24"/>
      <w:lang w:val="en-US" w:eastAsia="zh-CN" w:bidi="ar-SA"/>
    </w:rPr>
  </w:style>
  <w:style w:type="paragraph" w:styleId="标题1">
    <w:name w:val="标题 1"/>
    <w:basedOn w:val="Normal"/>
    <w:next w:val="Normal"/>
    <w:link w:val="标题1Char"/>
    <w:uiPriority w:val="9"/>
    <w:qFormat/>
    <w:pPr>
      <w:keepNext/>
      <w:keepLines/>
      <w:spacing w:before="340" w:after="330" w:line="578" w:lineRule="atLeast"/>
      <w:outlineLvl w:val="0"/>
    </w:pPr>
    <w:rPr>
      <w:b/>
      <w:bCs/>
      <w:kern w:val="44.0"/>
      <w:sz w:val="44"/>
      <w:szCs w:val="44"/>
    </w:rPr>
  </w:style>
  <w:style w:type="paragraph" w:styleId="标题2">
    <w:name w:val="标题 2"/>
    <w:basedOn w:val="Normal"/>
    <w:next w:val="Normal"/>
    <w:link w:val="标题2Char"/>
    <w:uiPriority w:val="9"/>
    <w:unhideWhenUsed/>
    <w:qFormat/>
    <w:pPr>
      <w:keepNext/>
      <w:keepLines/>
      <w:spacing w:before="260" w:after="260" w:line="416" w:lineRule="atLeast"/>
      <w:outlineLvl w:val="1"/>
    </w:pPr>
    <w:rPr>
      <w:rFonts w:ascii="Cambria" w:eastAsia="宋体" w:hAnsi="Cambria" w:cs="Times New Roman"/>
      <w:b/>
      <w:bCs/>
      <w:sz w:val="32"/>
      <w:szCs w:val="32"/>
    </w:rPr>
  </w:style>
  <w:style w:type="paragraph" w:styleId="标题3">
    <w:name w:val="标题 3"/>
    <w:basedOn w:val="Normal"/>
    <w:next w:val="Normal"/>
    <w:link w:val="标题3Char"/>
    <w:uiPriority w:val="9"/>
    <w:unhideWhenUsed/>
    <w:qFormat/>
    <w:pPr>
      <w:keepNext/>
      <w:keepLines/>
      <w:spacing w:before="260" w:after="260" w:line="416" w:lineRule="atLeast"/>
      <w:outlineLvl w:val="2"/>
    </w:pPr>
    <w:rPr>
      <w:b/>
      <w:bCs/>
      <w:sz w:val="32"/>
      <w:szCs w:val="32"/>
    </w:rPr>
  </w:style>
  <w:style w:type="character" w:default="1" w:styleId="DefaultParagraphFont">
    <w:name w:val="Default Paragraph Font"/>
    <w:unhideWhenUsed/>
  </w:style>
  <w:style w:type="table" w:styleId="普通表格">
    <w:name w:val="普通表格"/>
    <w:uiPriority w:val="99"/>
    <w:unhideWhenUsed/>
    <w:tblP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
  </w:style>
  <w:style w:type="character" w:styleId="标题1Char">
    <w:name w:val="标题 1 Char"/>
    <w:link w:val="标题1"/>
    <w:uiPriority w:val="9"/>
    <w:rPr>
      <w:b/>
      <w:bCs/>
      <w:kern w:val="44.0"/>
      <w:sz w:val="44"/>
      <w:szCs w:val="44"/>
    </w:rPr>
  </w:style>
  <w:style w:type="character" w:styleId="标题2Char">
    <w:name w:val="标题 2 Char"/>
    <w:link w:val="标题2"/>
    <w:uiPriority w:val="9"/>
    <w:semiHidden/>
    <w:rPr>
      <w:rFonts w:ascii="Cambria" w:eastAsia="宋体" w:hAnsi="Cambria" w:cs="Times New Roman"/>
      <w:b/>
      <w:bCs/>
      <w:sz w:val="32"/>
      <w:szCs w:val="32"/>
    </w:rPr>
  </w:style>
  <w:style w:type="character" w:styleId="标题3Char">
    <w:name w:val="标题 3 Char"/>
    <w:link w:val="标题3"/>
    <w:uiPriority w:val="9"/>
    <w:semiHidden/>
    <w:rPr>
      <w:b/>
      <w:bCs/>
      <w:sz w:val="32"/>
      <w:szCs w:val="32"/>
    </w:rPr>
  </w:style>
  <w:style w:type="paragraph" w:styleId="正文文本缩进">
    <w:name w:val="正文文本缩进"/>
    <w:basedOn w:val="Normal"/>
    <w:next w:val="正文首行缩进2"/>
    <w:uiPriority w:val="99"/>
    <w:unhideWhenUsed/>
    <w:qFormat/>
    <w:pPr>
      <w:spacing w:after="120"/>
      <w:ind w:left="420" w:leftChars="200"/>
      <w:jc w:val="left"/>
    </w:pPr>
    <w:rPr>
      <w:rFonts w:ascii="宋体" w:hAnsi="宋体" w:cs="宋体"/>
      <w:kern w:val="0.0"/>
      <w:sz w:val="24"/>
      <w:lang w:val="en-US" w:eastAsia="zh-CN"/>
    </w:rPr>
  </w:style>
  <w:style w:type="paragraph" w:styleId="正文首行缩进2">
    <w:name w:val="正文首行缩进 2"/>
    <w:basedOn w:val="正文文本缩进"/>
    <w:next w:val="Normal"/>
    <w:uiPriority w:val="99"/>
    <w:unhideWhenUsed/>
    <w:qFormat/>
    <w:pPr>
      <w:ind w:left="420" w:firstLine="420" w:firstLineChars="200"/>
      <w:jc w:val="left"/>
    </w:pPr>
    <w:rPr>
      <w:lang w:val="en-US" w:eastAsia="zh-CN"/>
    </w:rPr>
  </w:style>
  <w:style w:type="paragraph" w:styleId="目录3">
    <w:name w:val="目录 3"/>
    <w:basedOn w:val="Normal"/>
    <w:next w:val="Normal"/>
    <w:uiPriority w:val="39"/>
    <w:unhideWhenUsed/>
    <w:qFormat/>
    <w:pPr>
      <w:widowControl/>
      <w:adjustRightInd/>
      <w:spacing w:after="100" w:line="276" w:lineRule="auto"/>
      <w:ind w:left="440"/>
      <w:textAlignment w:val="auto"/>
    </w:pPr>
    <w:rPr>
      <w:rFonts w:ascii="Calibri" w:eastAsia="宋体" w:hAnsi="Calibri" w:cs="Times New Roman"/>
      <w:sz w:val="22"/>
      <w:szCs w:val="22"/>
    </w:rPr>
  </w:style>
  <w:style w:type="paragraph" w:styleId="批注框文本">
    <w:name w:val="批注框文本"/>
    <w:basedOn w:val="Normal"/>
    <w:link w:val="批注框文本Char"/>
    <w:uiPriority w:val="99"/>
    <w:unhideWhenUsed/>
    <w:pPr>
      <w:spacing w:line="240" w:lineRule="auto"/>
    </w:pPr>
    <w:rPr>
      <w:sz w:val="18"/>
      <w:szCs w:val="18"/>
    </w:rPr>
  </w:style>
  <w:style w:type="character" w:styleId="批注框文本Char">
    <w:name w:val="批注框文本 Char"/>
    <w:link w:val="批注框文本"/>
    <w:uiPriority w:val="99"/>
    <w:semiHidden/>
    <w:rPr>
      <w:sz w:val="18"/>
      <w:szCs w:val="18"/>
    </w:rPr>
  </w:style>
  <w:style w:type="paragraph" w:styleId="页脚">
    <w:name w:val="页脚"/>
    <w:basedOn w:val="Normal"/>
    <w:link w:val="页脚Char"/>
    <w:unhideWhenUsed/>
    <w:qFormat/>
    <w:pPr>
      <w:tabs>
        <w:tab w:val="center" w:pos="4153"/>
        <w:tab w:val="right" w:pos="8306"/>
      </w:tabs>
      <w:snapToGrid w:val="0"/>
      <w:spacing w:line="240" w:lineRule="atLeast"/>
    </w:pPr>
    <w:rPr>
      <w:sz w:val="18"/>
      <w:szCs w:val="18"/>
    </w:rPr>
  </w:style>
  <w:style w:type="character" w:styleId="页脚Char">
    <w:name w:val="页脚 Char"/>
    <w:link w:val="页脚"/>
    <w:semiHidden/>
    <w:rPr>
      <w:sz w:val="18"/>
      <w:szCs w:val="18"/>
    </w:rPr>
  </w:style>
  <w:style w:type="paragraph" w:styleId="页眉">
    <w:name w:val="页眉"/>
    <w:basedOn w:val="Normal"/>
    <w:link w:val="页眉Char"/>
    <w:unhideWhenUsed/>
    <w:pPr>
      <w:pBdr>
        <w:bottom w:val="single" w:sz="6" w:space="1" w:color="auto"/>
      </w:pBdr>
      <w:tabs>
        <w:tab w:val="center" w:pos="4153"/>
        <w:tab w:val="right" w:pos="8306"/>
      </w:tabs>
      <w:snapToGrid w:val="0"/>
      <w:spacing w:line="240" w:lineRule="atLeast"/>
      <w:jc w:val="center"/>
    </w:pPr>
    <w:rPr>
      <w:sz w:val="18"/>
      <w:szCs w:val="18"/>
    </w:rPr>
  </w:style>
  <w:style w:type="character" w:styleId="页眉Char">
    <w:name w:val="页眉 Char"/>
    <w:link w:val="页眉"/>
    <w:semiHidden/>
    <w:rPr>
      <w:sz w:val="18"/>
      <w:szCs w:val="18"/>
    </w:rPr>
  </w:style>
  <w:style w:type="paragraph" w:styleId="目录1">
    <w:name w:val="目录 1"/>
    <w:basedOn w:val="Normal"/>
    <w:next w:val="Normal"/>
    <w:uiPriority w:val="39"/>
    <w:unhideWhenUsed/>
    <w:qFormat/>
    <w:pPr>
      <w:widowControl/>
      <w:tabs>
        <w:tab w:val="right" w:leader="dot" w:pos="8296"/>
      </w:tabs>
      <w:adjustRightInd/>
      <w:spacing w:after="100" w:line="276" w:lineRule="auto"/>
      <w:textAlignment w:val="auto"/>
    </w:pPr>
    <w:rPr>
      <w:rFonts w:ascii="黑体" w:eastAsia="黑体" w:hAnsi="黑体" w:cs="方正小标宋简体"/>
      <w:sz w:val="22"/>
      <w:szCs w:val="22"/>
    </w:rPr>
  </w:style>
  <w:style w:type="paragraph" w:styleId="脚注文本">
    <w:name w:val="脚注文本"/>
    <w:basedOn w:val="Normal"/>
    <w:next w:val="正文首行缩进2"/>
    <w:semiHidden/>
    <w:qFormat/>
    <w:pPr>
      <w:snapToGrid w:val="0"/>
      <w:jc w:val="left"/>
    </w:pPr>
    <w:rPr>
      <w:sz w:val="18"/>
      <w:szCs w:val="18"/>
      <w:lang w:val="en-US" w:eastAsia="zh-CN"/>
    </w:rPr>
  </w:style>
  <w:style w:type="paragraph" w:styleId="目录2">
    <w:name w:val="目录 2"/>
    <w:basedOn w:val="Normal"/>
    <w:next w:val="Normal"/>
    <w:uiPriority w:val="39"/>
    <w:unhideWhenUsed/>
    <w:qFormat/>
    <w:pPr>
      <w:widowControl/>
      <w:adjustRightInd/>
      <w:spacing w:after="100" w:line="276" w:lineRule="auto"/>
      <w:ind w:left="220"/>
      <w:textAlignment w:val="auto"/>
    </w:pPr>
    <w:rPr>
      <w:rFonts w:ascii="Calibri" w:eastAsia="宋体" w:hAnsi="Calibri" w:cs="Times New Roman"/>
      <w:sz w:val="22"/>
      <w:szCs w:val="22"/>
    </w:rPr>
  </w:style>
  <w:style w:type="paragraph" w:styleId="普通(网站)">
    <w:name w:val="普通(网站)"/>
    <w:basedOn w:val="Normal"/>
    <w:uiPriority w:val="99"/>
    <w:unhideWhenUsed/>
    <w:qFormat/>
    <w:rPr>
      <w:sz w:val="24"/>
    </w:rPr>
  </w:style>
  <w:style w:type="character" w:styleId="Hyperlink">
    <w:name w:val="超链接"/>
    <w:uiPriority w:val="99"/>
    <w:unhideWhenUsed/>
    <w:rPr>
      <w:color w:val="0000FF"/>
      <w:u w:val="single"/>
    </w:rPr>
  </w:style>
  <w:style w:type="paragraph" w:styleId="TOC标题">
    <w:name w:val="TOC 标题"/>
    <w:basedOn w:val="标题1"/>
    <w:next w:val="Normal"/>
    <w:uiPriority w:val="39"/>
    <w:unhideWhenUsed/>
    <w:qFormat/>
    <w:pPr>
      <w:widowControl/>
      <w:adjustRightInd/>
      <w:spacing w:before="480" w:after="0" w:line="276" w:lineRule="auto"/>
      <w:textAlignment w:val="auto"/>
      <w:outlineLvl w:val="9"/>
    </w:pPr>
    <w:rPr>
      <w:rFonts w:ascii="Cambria" w:eastAsia="宋体" w:hAnsi="Cambria" w:cs="Times New Roman"/>
      <w:color w:val="365F91"/>
      <w:kern w:val="0.0"/>
      <w:sz w:val="28"/>
      <w:szCs w:val="28"/>
    </w:rPr>
  </w:style>
  <w:style w:type="character" w:styleId="font41">
    <w:name w:val="font41"/>
    <w:basedOn w:val="DefaultParagraphFont"/>
    <w:qFormat/>
    <w:rPr>
      <w:rFonts w:ascii="宋体" w:eastAsia="宋体" w:hAnsi="宋体" w:cs="宋体" w:hint="eastAsia"/>
      <w:color w:val="000000"/>
      <w:sz w:val="20"/>
      <w:szCs w:val="20"/>
      <w:u w:val="none"/>
    </w:rPr>
  </w:style>
  <w:style w:type="character" w:styleId="font11">
    <w:name w:val="font11"/>
    <w:basedOn w:val="DefaultParagraphFont"/>
    <w:qFormat/>
    <w:rPr>
      <w:rFonts w:ascii="宋体" w:eastAsia="宋体" w:hAnsi="宋体" w:cs="宋体" w:hint="eastAsia"/>
      <w:color w:val="000000"/>
      <w:sz w:val="22"/>
      <w:szCs w:val="22"/>
      <w:u w:val="none"/>
    </w:rPr>
  </w:style>
  <w:style w:type="table" w:styleId="普通表格1">
    <w:name w:val="普通表格1"/>
    <w:uiPriority w:val="99"/>
    <w:unhideWhenUsed/>
    <w:tblPr>
      <w:tblCellMar>
        <w:top w:w="0" w:type="dxa"/>
        <w:left w:w="108" w:type="dxa"/>
        <w:bottom w:w="0" w:type="dxa"/>
        <w:right w:w="108" w:type="dxa"/>
      </w:tblCellMar>
    </w:tblPr>
  </w:style>
  <w:style w:type="table" w:default="1" w:styleId="NormalTable">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NormalTabl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11" Type="http://schemas.openxmlformats.org/officeDocument/2006/relationships/fontTable" Target="fontTable.xml" /><Relationship Id="rId2" Type="http://schemas.openxmlformats.org/officeDocument/2006/relationships/webSettings" Target="webSettings.xml" /><Relationship Id="rId3" Type="http://schemas.openxmlformats.org/officeDocument/2006/relationships/customXml" Target="../customXml/item1.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theme" Target="theme/theme1.xml" /></Relationships>
</file>

<file path=word/_rels/fontTable.xml.rels>&#65279;<?xml version="1.0" encoding="utf-8" standalone="yes"?><Relationships xmlns="http://schemas.openxmlformats.org/package/2006/relationships"><Relationship Id="rId1" Type="http://schemas.openxmlformats.org/officeDocument/2006/relationships/font" Target="fonts/font0.odttf" /><Relationship Id="rId10" Type="http://schemas.openxmlformats.org/officeDocument/2006/relationships/font" Target="fonts/font9.odttf" /><Relationship Id="rId11" Type="http://schemas.openxmlformats.org/officeDocument/2006/relationships/font" Target="fonts/font10.odttf" /><Relationship Id="rId12" Type="http://schemas.openxmlformats.org/officeDocument/2006/relationships/font" Target="fonts/font11.odttf" /><Relationship Id="rId13" Type="http://schemas.openxmlformats.org/officeDocument/2006/relationships/font" Target="fonts/font12.odttf" /><Relationship Id="rId14" Type="http://schemas.openxmlformats.org/officeDocument/2006/relationships/font" Target="fonts/font13.odttf" /><Relationship Id="rId2" Type="http://schemas.openxmlformats.org/officeDocument/2006/relationships/font" Target="fonts/font1.odttf" /><Relationship Id="rId3" Type="http://schemas.openxmlformats.org/officeDocument/2006/relationships/font" Target="fonts/font2.odttf" /><Relationship Id="rId4" Type="http://schemas.openxmlformats.org/officeDocument/2006/relationships/font" Target="fonts/font3.odttf" /><Relationship Id="rId5" Type="http://schemas.openxmlformats.org/officeDocument/2006/relationships/font" Target="fonts/font4.odttf" /><Relationship Id="rId6" Type="http://schemas.openxmlformats.org/officeDocument/2006/relationships/font" Target="fonts/font5.odttf" /><Relationship Id="rId7" Type="http://schemas.openxmlformats.org/officeDocument/2006/relationships/font" Target="fonts/font6.odttf" /><Relationship Id="rId8" Type="http://schemas.openxmlformats.org/officeDocument/2006/relationships/font" Target="fonts/font7.odttf" /><Relationship Id="rId9" Type="http://schemas.openxmlformats.org/officeDocument/2006/relationships/font" Target="fonts/font8.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A5A403E1C15441A0A57FA6556FC3E287_13</vt:lpwstr>
  </property>
  <property fmtid="{D5CDD505-2E9C-101B-9397-08002B2CF9AE}" pid="4" name="KSOTemplateDocerSaveRecord">
    <vt:lpwstr>eyJoZGlkIjoiMGMwOGFkMDkyMGVjOWVjMzc0YjBmOTUwNDI2MGMxYmMiLCJ1c2VySWQiOiI4ODc2NjQ3MTcifQ_x003D__x003D_</vt:lpwstr>
  </property>
</Properties>
</file>

<file path=customXml/itemProps1.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Normal.dot</Template>
  <Pages>26</Pages>
  <Words>3930</Words>
  <Characters>23360</Characters>
  <Application>WPS Office_12.1.0.28043_F1E327BC-269C-435d-A152-05C5408002CA</Application>
  <DocSecurity>0</DocSecurity>
  <Lines>60</Lines>
  <Paragraphs>16</Paragraphs>
  <ScaleCrop>false</ScaleCrop>
  <Company>Microsoft</Company>
  <LinksUpToDate>false</LinksUpToDate>
  <CharactersWithSpaces>23943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附件1</dc:title>
  <dc:creator>Administrator</dc:creator>
  <cp:lastModifiedBy>听鸣</cp:lastModifiedBy>
  <cp:revision>1</cp:revision>
  <cp:lastPrinted>2025-06-25T07:52:17Z</cp:lastPrinted>
  <dcterms:created xsi:type="dcterms:W3CDTF">2019-07-27T18:37:00Z</dcterms:created>
  <dcterms:modified xsi:type="dcterms:W3CDTF">2026-08-26T09:19:30Z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A5A403E1C15441A0A57FA6556FC3E287_13</vt:lpwstr>
  </property>
  <property fmtid="{D5CDD505-2E9C-101B-9397-08002B2CF9AE}" pid="4" name="KSOTemplateDocerSaveRecord">
    <vt:lpwstr>eyJoZGlkIjoiMGMwOGFkMDkyMGVjOWVjMzc0YjBmOTUwNDI2MGMxYmMiLCJ1c2VySWQiOiI4ODc2NjQ3MTcifQ_x003D__x003D_</vt:lpwstr>
  </property>
</Properties>
</file>